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05" w:rsidRPr="00A30005" w:rsidRDefault="00A30005" w:rsidP="00A30005">
      <w:pPr>
        <w:autoSpaceDE w:val="0"/>
        <w:autoSpaceDN w:val="0"/>
        <w:adjustRightInd w:val="0"/>
        <w:ind w:firstLineChars="100" w:firstLine="280"/>
        <w:jc w:val="left"/>
        <w:rPr>
          <w:rFonts w:ascii="宋体" w:eastAsia="宋体" w:hAnsi="宋体" w:cs="FZXBSJW--GB1-0"/>
          <w:kern w:val="0"/>
          <w:sz w:val="28"/>
          <w:szCs w:val="28"/>
        </w:rPr>
      </w:pPr>
      <w:r w:rsidRPr="00A30005">
        <w:rPr>
          <w:rFonts w:ascii="宋体" w:eastAsia="宋体" w:hAnsi="宋体" w:cs="TimesNewRomanPSMT"/>
          <w:kern w:val="0"/>
          <w:sz w:val="28"/>
          <w:szCs w:val="28"/>
        </w:rPr>
        <w:t>2027</w:t>
      </w:r>
      <w:r w:rsidRPr="00A30005">
        <w:rPr>
          <w:rFonts w:ascii="宋体" w:eastAsia="宋体" w:hAnsi="宋体" w:cs="FZXBSJW--GB1-0" w:hint="eastAsia"/>
          <w:kern w:val="0"/>
          <w:sz w:val="28"/>
          <w:szCs w:val="28"/>
        </w:rPr>
        <w:t>年度国家中医药综合改革示范区科技共建重大项目申报指南</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领域一、重大疑难疾病中医药治疗方案优化及评价研究</w:t>
      </w:r>
    </w:p>
    <w:p w:rsid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针对超高危冠心病、心力衰竭、难治性膜性肾病、盆腔子宫内膜异位症、肺结核合并糖尿病、肾移植术后重症肺部感染、间质性肺病、难治性癫痫、关节镜术后难治性肩黏连、消化道恶性肿瘤术后复发、强直性脊柱炎、急性重症胰腺炎、肺动脉栓塞、百日咳、阿尔茨海默病重大疑难疾病，以提高临床疗效为导向，挖掘疑难疾病</w:t>
      </w:r>
      <w:r w:rsidRPr="00A30005">
        <w:rPr>
          <w:rFonts w:ascii="宋体" w:eastAsia="宋体" w:hAnsi="宋体" w:cs="TimesNewRomanPSMT" w:hint="eastAsia"/>
          <w:kern w:val="0"/>
          <w:sz w:val="24"/>
          <w:szCs w:val="24"/>
        </w:rPr>
        <w:t>“</w:t>
      </w:r>
      <w:r w:rsidRPr="00A30005">
        <w:rPr>
          <w:rFonts w:ascii="宋体" w:eastAsia="宋体" w:hAnsi="宋体" w:cs="仿宋_GB2312" w:hint="eastAsia"/>
          <w:kern w:val="0"/>
          <w:sz w:val="24"/>
          <w:szCs w:val="24"/>
        </w:rPr>
        <w:t>病证结合</w:t>
      </w:r>
      <w:r w:rsidRPr="00A30005">
        <w:rPr>
          <w:rFonts w:ascii="宋体" w:eastAsia="宋体" w:hAnsi="宋体" w:cs="TimesNewRomanPSMT" w:hint="eastAsia"/>
          <w:kern w:val="0"/>
          <w:sz w:val="24"/>
          <w:szCs w:val="24"/>
        </w:rPr>
        <w:t>”</w:t>
      </w:r>
      <w:r w:rsidRPr="00A30005">
        <w:rPr>
          <w:rFonts w:ascii="宋体" w:eastAsia="宋体" w:hAnsi="宋体" w:cs="仿宋_GB2312" w:hint="eastAsia"/>
          <w:kern w:val="0"/>
          <w:sz w:val="24"/>
          <w:szCs w:val="24"/>
        </w:rPr>
        <w:t>证治规律，制定中医药或中西医结合优势互补的防治方案；基于循证医学原则开展多中心随机对照临床研究，获得高级别临床证据；开展作用机理研究；研制相关特色制剂或产品。</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围绕</w:t>
      </w:r>
      <w:r w:rsidRPr="00A30005">
        <w:rPr>
          <w:rFonts w:ascii="宋体" w:eastAsia="宋体" w:hAnsi="宋体" w:cs="TimesNewRomanPSMT"/>
          <w:kern w:val="0"/>
          <w:sz w:val="24"/>
          <w:szCs w:val="24"/>
        </w:rPr>
        <w:t>1</w:t>
      </w:r>
      <w:r w:rsidRPr="00A30005">
        <w:rPr>
          <w:rFonts w:ascii="宋体" w:eastAsia="宋体" w:hAnsi="宋体" w:cs="仿宋_GB2312" w:hint="eastAsia"/>
          <w:kern w:val="0"/>
          <w:sz w:val="24"/>
          <w:szCs w:val="24"/>
        </w:rPr>
        <w:t>种重大疑难疾病，制定中医或中西医结合防治方案</w:t>
      </w:r>
      <w:r w:rsidRPr="00A30005">
        <w:rPr>
          <w:rFonts w:ascii="宋体" w:eastAsia="宋体" w:hAnsi="宋体" w:cs="TimesNewRomanPSMT"/>
          <w:kern w:val="0"/>
          <w:sz w:val="24"/>
          <w:szCs w:val="24"/>
        </w:rPr>
        <w:t>1</w:t>
      </w:r>
      <w:r w:rsidRPr="00A30005">
        <w:rPr>
          <w:rFonts w:ascii="宋体" w:eastAsia="宋体" w:hAnsi="宋体" w:cs="仿宋_GB2312" w:hint="eastAsia"/>
          <w:kern w:val="0"/>
          <w:sz w:val="24"/>
          <w:szCs w:val="24"/>
        </w:rPr>
        <w:t>个；形成行业认可的临床防治标准、规范、指南或共识</w:t>
      </w:r>
      <w:r w:rsidRPr="00A30005">
        <w:rPr>
          <w:rFonts w:ascii="宋体" w:eastAsia="宋体" w:hAnsi="宋体" w:cs="TimesNewRomanPSMT"/>
          <w:kern w:val="0"/>
          <w:sz w:val="24"/>
          <w:szCs w:val="24"/>
        </w:rPr>
        <w:t>1</w:t>
      </w:r>
      <w:r w:rsidRPr="00A30005">
        <w:rPr>
          <w:rFonts w:ascii="宋体" w:eastAsia="宋体" w:hAnsi="宋体" w:cs="仿宋_GB2312" w:hint="eastAsia"/>
          <w:kern w:val="0"/>
          <w:sz w:val="24"/>
          <w:szCs w:val="24"/>
        </w:rPr>
        <w:t>部；阐明临床有效方案防治重大疑难疾病的作用机制；针对</w:t>
      </w:r>
      <w:r w:rsidRPr="00A30005">
        <w:rPr>
          <w:rFonts w:ascii="宋体" w:eastAsia="宋体" w:hAnsi="宋体" w:cs="TimesNewRomanPSMT"/>
          <w:kern w:val="0"/>
          <w:sz w:val="24"/>
          <w:szCs w:val="24"/>
        </w:rPr>
        <w:t>1</w:t>
      </w:r>
      <w:r w:rsidRPr="00A30005">
        <w:rPr>
          <w:rFonts w:ascii="宋体" w:eastAsia="宋体" w:hAnsi="宋体" w:cs="仿宋_GB2312" w:hint="eastAsia"/>
          <w:kern w:val="0"/>
          <w:sz w:val="24"/>
          <w:szCs w:val="24"/>
        </w:rPr>
        <w:t>个中药复方，完成中药新药临床前研究。</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领域二：中医优势病种新治法、新方案的探索性研究</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针对原发性痛经、哺乳期乳腺炎、代谢相关脂肪性肝病、儿童生长发育迟缓、贝尔氏面瘫、慢性荨麻疹、三叉神经痛、哮喘、腰椎退变性疾病、骨质疏松症、肌少症、溃疡性结肠炎、功能性便秘、肛肠疾病术后创面修复、子宫腺肌病、视神经萎缩、膝骨关节炎、肺炎、孕期绒毛膜下血肿中医优势病种，系统汇聚相关疾病或病证古今文献和临床病例，为临床诊治提供支持；以中医药诊治特色和优势为切入点</w:t>
      </w:r>
      <w:r w:rsidRPr="00A30005">
        <w:rPr>
          <w:rFonts w:ascii="宋体" w:eastAsia="宋体" w:hAnsi="宋体" w:cs="TimesNewRomanPSMT"/>
          <w:kern w:val="0"/>
          <w:sz w:val="24"/>
          <w:szCs w:val="24"/>
        </w:rPr>
        <w:t>,</w:t>
      </w:r>
      <w:r w:rsidRPr="00A30005">
        <w:rPr>
          <w:rFonts w:ascii="宋体" w:eastAsia="宋体" w:hAnsi="宋体" w:cs="仿宋_GB2312" w:hint="eastAsia"/>
          <w:kern w:val="0"/>
          <w:sz w:val="24"/>
          <w:szCs w:val="24"/>
        </w:rPr>
        <w:t>选择有潜在疗效优势的新治法、新方药、新技术，开展多中心随机对照临床研究，形成高质量、国际公认的临床证据；并运用现代科学技术，阐明其作用机理。</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围绕</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种中医优势病种，完成相关病种新治法、新方药或新技术的临床研究，优化或形成疗效明确、具有中医优势特色的诊疗方案</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个；在项目实施基础上形成行业认可的临床防治标准、规范、指南或共识</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部，并在</w:t>
      </w:r>
      <w:r>
        <w:rPr>
          <w:rFonts w:ascii="宋体" w:eastAsia="宋体" w:hAnsi="宋体" w:cs="TimesNewRomanPSMT"/>
          <w:kern w:val="0"/>
          <w:sz w:val="24"/>
          <w:szCs w:val="24"/>
        </w:rPr>
        <w:t>5</w:t>
      </w:r>
      <w:r w:rsidRPr="00A30005">
        <w:rPr>
          <w:rFonts w:ascii="宋体" w:eastAsia="宋体" w:hAnsi="宋体" w:cs="仿宋_GB2312" w:hint="eastAsia"/>
          <w:kern w:val="0"/>
          <w:sz w:val="24"/>
          <w:szCs w:val="24"/>
        </w:rPr>
        <w:t>家以上医疗机构推广应用。</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领域三、中医</w:t>
      </w:r>
      <w:r w:rsidRPr="00A30005">
        <w:rPr>
          <w:rFonts w:ascii="黑体" w:eastAsia="黑体" w:hAnsi="黑体" w:cs="TimesNewRomanPSMT" w:hint="eastAsia"/>
          <w:kern w:val="0"/>
          <w:sz w:val="24"/>
          <w:szCs w:val="24"/>
        </w:rPr>
        <w:t>“</w:t>
      </w:r>
      <w:r w:rsidRPr="00A30005">
        <w:rPr>
          <w:rFonts w:ascii="黑体" w:eastAsia="黑体" w:hAnsi="黑体" w:cs="黑体" w:hint="eastAsia"/>
          <w:kern w:val="0"/>
          <w:sz w:val="24"/>
          <w:szCs w:val="24"/>
        </w:rPr>
        <w:t>治未病</w:t>
      </w:r>
      <w:r w:rsidRPr="00A30005">
        <w:rPr>
          <w:rFonts w:ascii="黑体" w:eastAsia="黑体" w:hAnsi="黑体" w:cs="TimesNewRomanPSMT" w:hint="eastAsia"/>
          <w:kern w:val="0"/>
          <w:sz w:val="24"/>
          <w:szCs w:val="24"/>
        </w:rPr>
        <w:t>”</w:t>
      </w:r>
      <w:r w:rsidRPr="00A30005">
        <w:rPr>
          <w:rFonts w:ascii="黑体" w:eastAsia="黑体" w:hAnsi="黑体" w:cs="黑体" w:hint="eastAsia"/>
          <w:kern w:val="0"/>
          <w:sz w:val="24"/>
          <w:szCs w:val="24"/>
        </w:rPr>
        <w:t>干预方案研究</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聚焦儿童青少年肥胖、近视前期、儿童口腔保健、睡眠障碍、情感障碍、脊柱侧弯、无症状高尿酸血症亚健康状态，制定中医药干预亚健康状态的特色技术和方案；开展高质量多中心随机对照试验，系统评价该干预方</w:t>
      </w:r>
      <w:r w:rsidRPr="00A30005">
        <w:rPr>
          <w:rFonts w:ascii="宋体" w:eastAsia="宋体" w:hAnsi="宋体" w:cs="仿宋_GB2312" w:hint="eastAsia"/>
          <w:kern w:val="0"/>
          <w:sz w:val="24"/>
          <w:szCs w:val="24"/>
        </w:rPr>
        <w:lastRenderedPageBreak/>
        <w:t>案对改善目标人群核心症状、生活质量及生理生化指标的有效性与安全性；并进行卫生经济学评价；探索干预方案与社区健康管理的有效衔接路径。</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选择</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种亚健康状态，形成</w:t>
      </w:r>
      <w:r>
        <w:rPr>
          <w:rFonts w:ascii="宋体" w:eastAsia="宋体" w:hAnsi="宋体" w:cs="TimesNewRomanPSMT"/>
          <w:kern w:val="0"/>
          <w:sz w:val="24"/>
          <w:szCs w:val="24"/>
        </w:rPr>
        <w:t>1-2</w:t>
      </w:r>
      <w:r w:rsidRPr="00A30005">
        <w:rPr>
          <w:rFonts w:ascii="宋体" w:eastAsia="宋体" w:hAnsi="宋体" w:cs="仿宋_GB2312" w:hint="eastAsia"/>
          <w:kern w:val="0"/>
          <w:sz w:val="24"/>
          <w:szCs w:val="24"/>
        </w:rPr>
        <w:t>种中医药干预技术、有效方案的操作规范与相关干预产品，并在</w:t>
      </w:r>
      <w:r>
        <w:rPr>
          <w:rFonts w:ascii="宋体" w:eastAsia="宋体" w:hAnsi="宋体" w:cs="TimesNewRomanPSMT"/>
          <w:kern w:val="0"/>
          <w:sz w:val="24"/>
          <w:szCs w:val="24"/>
        </w:rPr>
        <w:t>5</w:t>
      </w:r>
      <w:r w:rsidRPr="00A30005">
        <w:rPr>
          <w:rFonts w:ascii="宋体" w:eastAsia="宋体" w:hAnsi="宋体" w:cs="仿宋_GB2312" w:hint="eastAsia"/>
          <w:kern w:val="0"/>
          <w:sz w:val="24"/>
          <w:szCs w:val="24"/>
        </w:rPr>
        <w:t>家以上相关单位推广应用；形成符合中医干预特点的效果综合评价方法。</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领域四：医疗机构中药制剂研发和应用</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针对中医药具有特色优势的重大高发疾病，选择组方合理、治疗病症明确、作用机制相对清楚、具有较大市场前景的经典名方、浙派名老中医经验方或协定处方，开展制剂成型、生产工艺、质量控制技术和标准、产品稳定性考察等研究；开展临床研究或人用经验的数据收集、病案资料整理。</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获批疗效确切的医疗机构中药制剂</w:t>
      </w:r>
      <w:r>
        <w:rPr>
          <w:rFonts w:ascii="宋体" w:eastAsia="宋体" w:hAnsi="宋体" w:cs="TimesNewRomanPSMT"/>
          <w:kern w:val="0"/>
          <w:sz w:val="24"/>
          <w:szCs w:val="24"/>
        </w:rPr>
        <w:t>1-2</w:t>
      </w:r>
      <w:r w:rsidRPr="00A30005">
        <w:rPr>
          <w:rFonts w:ascii="宋体" w:eastAsia="宋体" w:hAnsi="宋体" w:cs="仿宋_GB2312" w:hint="eastAsia"/>
          <w:kern w:val="0"/>
          <w:sz w:val="24"/>
          <w:szCs w:val="24"/>
        </w:rPr>
        <w:t>个。</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领域五：人工智能</w:t>
      </w:r>
      <w:r w:rsidRPr="00A30005">
        <w:rPr>
          <w:rFonts w:ascii="黑体" w:eastAsia="黑体" w:hAnsi="黑体" w:cs="TimesNewRomanPSMT"/>
          <w:kern w:val="0"/>
          <w:sz w:val="24"/>
          <w:szCs w:val="24"/>
        </w:rPr>
        <w:t>+</w:t>
      </w:r>
      <w:r w:rsidRPr="00A30005">
        <w:rPr>
          <w:rFonts w:ascii="黑体" w:eastAsia="黑体" w:hAnsi="黑体" w:cs="黑体" w:hint="eastAsia"/>
          <w:kern w:val="0"/>
          <w:sz w:val="24"/>
          <w:szCs w:val="24"/>
        </w:rPr>
        <w:t>中医药智能诊疗装备研发</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对标《卫生健康行业人工智能应用场景参考指引》中医药装备智能化升级要求，面向中医诊断、非药物治疗、治未病、中药智能处置等场景，融合智能传感、</w:t>
      </w:r>
      <w:r w:rsidRPr="00A30005">
        <w:rPr>
          <w:rFonts w:ascii="宋体" w:eastAsia="宋体" w:hAnsi="宋体" w:cs="TimesNewRomanPSMT"/>
          <w:kern w:val="0"/>
          <w:sz w:val="24"/>
          <w:szCs w:val="24"/>
        </w:rPr>
        <w:t xml:space="preserve">3D </w:t>
      </w:r>
      <w:r w:rsidRPr="00A30005">
        <w:rPr>
          <w:rFonts w:ascii="宋体" w:eastAsia="宋体" w:hAnsi="宋体" w:cs="仿宋_GB2312" w:hint="eastAsia"/>
          <w:kern w:val="0"/>
          <w:sz w:val="24"/>
          <w:szCs w:val="24"/>
        </w:rPr>
        <w:t>打印、具身智能机器人技术开展中医体征、经络、理疗操作的量化表征研究，搭建中医诊疗方案知识图谱；依托大数据智能算法实现多维度中医临床信息数字化采集与可视化输出，研发四诊一体化设备、仿生</w:t>
      </w:r>
    </w:p>
    <w:p w:rsidR="00A30005" w:rsidRPr="00A30005" w:rsidRDefault="00A30005" w:rsidP="00A30005">
      <w:pPr>
        <w:autoSpaceDE w:val="0"/>
        <w:autoSpaceDN w:val="0"/>
        <w:adjustRightInd w:val="0"/>
        <w:spacing w:line="360" w:lineRule="auto"/>
        <w:jc w:val="left"/>
        <w:rPr>
          <w:rFonts w:ascii="宋体" w:eastAsia="宋体" w:hAnsi="宋体" w:cs="仿宋_GB2312"/>
          <w:kern w:val="0"/>
          <w:sz w:val="24"/>
          <w:szCs w:val="24"/>
        </w:rPr>
      </w:pPr>
      <w:r w:rsidRPr="00A30005">
        <w:rPr>
          <w:rFonts w:ascii="宋体" w:eastAsia="宋体" w:hAnsi="宋体" w:cs="仿宋_GB2312" w:hint="eastAsia"/>
          <w:kern w:val="0"/>
          <w:sz w:val="24"/>
          <w:szCs w:val="24"/>
        </w:rPr>
        <w:t>机器人、智能康复理疗、中药智能煎制</w:t>
      </w:r>
      <w:r w:rsidRPr="00A30005">
        <w:rPr>
          <w:rFonts w:ascii="宋体" w:eastAsia="宋体" w:hAnsi="宋体" w:cs="TimesNewRomanPSMT"/>
          <w:kern w:val="0"/>
          <w:sz w:val="24"/>
          <w:szCs w:val="24"/>
        </w:rPr>
        <w:t>/</w:t>
      </w:r>
      <w:r w:rsidRPr="00A30005">
        <w:rPr>
          <w:rFonts w:ascii="宋体" w:eastAsia="宋体" w:hAnsi="宋体" w:cs="仿宋_GB2312" w:hint="eastAsia"/>
          <w:kern w:val="0"/>
          <w:sz w:val="24"/>
          <w:szCs w:val="24"/>
        </w:rPr>
        <w:t>质控装备等中医特色智能硬件；制定配套中医临床规范化操作</w:t>
      </w:r>
      <w:r w:rsidRPr="00A30005">
        <w:rPr>
          <w:rFonts w:ascii="宋体" w:eastAsia="宋体" w:hAnsi="宋体" w:cs="TimesNewRomanPSMT"/>
          <w:kern w:val="0"/>
          <w:sz w:val="24"/>
          <w:szCs w:val="24"/>
        </w:rPr>
        <w:t>SOP</w:t>
      </w:r>
      <w:r w:rsidRPr="00A30005">
        <w:rPr>
          <w:rFonts w:ascii="宋体" w:eastAsia="宋体" w:hAnsi="宋体" w:cs="仿宋_GB2312" w:hint="eastAsia"/>
          <w:kern w:val="0"/>
          <w:sz w:val="24"/>
          <w:szCs w:val="24"/>
        </w:rPr>
        <w:t>，规范诊疗数据归集、质控与医案沉淀，推动中医诊疗服务同质化。</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建成中医诊疗方案知识图谱</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套以上；研发形成中医特色智能诊疗装备样机，完成医疗机构临床试点应用；鼓励项目周期内取得对应类别医疗器械注册证。</w:t>
      </w:r>
    </w:p>
    <w:p w:rsidR="00A30005" w:rsidRPr="00A30005" w:rsidRDefault="00A30005" w:rsidP="00A30005">
      <w:pPr>
        <w:autoSpaceDE w:val="0"/>
        <w:autoSpaceDN w:val="0"/>
        <w:adjustRightInd w:val="0"/>
        <w:spacing w:line="360" w:lineRule="auto"/>
        <w:ind w:firstLineChars="200" w:firstLine="480"/>
        <w:jc w:val="left"/>
        <w:rPr>
          <w:rFonts w:ascii="黑体" w:eastAsia="黑体" w:hAnsi="黑体" w:cs="黑体"/>
          <w:kern w:val="0"/>
          <w:sz w:val="24"/>
          <w:szCs w:val="24"/>
        </w:rPr>
      </w:pPr>
      <w:r w:rsidRPr="00A30005">
        <w:rPr>
          <w:rFonts w:ascii="黑体" w:eastAsia="黑体" w:hAnsi="黑体" w:cs="黑体" w:hint="eastAsia"/>
          <w:kern w:val="0"/>
          <w:sz w:val="24"/>
          <w:szCs w:val="24"/>
        </w:rPr>
        <w:t>领域六：人工智能</w:t>
      </w:r>
      <w:r w:rsidRPr="00A30005">
        <w:rPr>
          <w:rFonts w:ascii="黑体" w:eastAsia="黑体" w:hAnsi="黑体" w:cs="TimesNewRomanPSMT"/>
          <w:kern w:val="0"/>
          <w:sz w:val="24"/>
          <w:szCs w:val="24"/>
        </w:rPr>
        <w:t>+</w:t>
      </w:r>
      <w:r w:rsidRPr="00A30005">
        <w:rPr>
          <w:rFonts w:ascii="黑体" w:eastAsia="黑体" w:hAnsi="黑体" w:cs="黑体" w:hint="eastAsia"/>
          <w:kern w:val="0"/>
          <w:sz w:val="24"/>
          <w:szCs w:val="24"/>
        </w:rPr>
        <w:t>中医临床多场景智能体研发</w:t>
      </w:r>
    </w:p>
    <w:p w:rsidR="00A3000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研究内容：</w:t>
      </w:r>
      <w:r w:rsidRPr="00A30005">
        <w:rPr>
          <w:rFonts w:ascii="宋体" w:eastAsia="宋体" w:hAnsi="宋体" w:cs="仿宋_GB2312" w:hint="eastAsia"/>
          <w:kern w:val="0"/>
          <w:sz w:val="24"/>
          <w:szCs w:val="24"/>
        </w:rPr>
        <w:t>紧扣国家“人工智能</w:t>
      </w:r>
      <w:r w:rsidRPr="00A30005">
        <w:rPr>
          <w:rFonts w:ascii="宋体" w:eastAsia="宋体" w:hAnsi="宋体" w:cs="TimesNewRomanPSMT"/>
          <w:kern w:val="0"/>
          <w:sz w:val="24"/>
          <w:szCs w:val="24"/>
        </w:rPr>
        <w:t>+</w:t>
      </w:r>
      <w:r w:rsidRPr="00A30005">
        <w:rPr>
          <w:rFonts w:ascii="宋体" w:eastAsia="宋体" w:hAnsi="宋体" w:cs="仿宋_GB2312" w:hint="eastAsia"/>
          <w:kern w:val="0"/>
          <w:sz w:val="24"/>
          <w:szCs w:val="24"/>
        </w:rPr>
        <w:t>中医药”临床智能辅助、高质量数据集建设部署，围绕中医优势病种归集四诊、证候方药、检验影像、疗效随访多模态数据，构建标准化真实世界专病数据库；融合中医知识图谱、人工智能技术，研发中医临床辅助诊疗、中药智能审方、病案智能质控、“浙派中医”古籍、名中医学术传承等垂类模型或智能体；依托垂类模型或智能体搭建</w:t>
      </w:r>
      <w:r w:rsidRPr="00A30005">
        <w:rPr>
          <w:rFonts w:ascii="宋体" w:eastAsia="宋体" w:hAnsi="宋体" w:cs="TimesNewRomanPSMT"/>
          <w:kern w:val="0"/>
          <w:sz w:val="24"/>
          <w:szCs w:val="24"/>
        </w:rPr>
        <w:t xml:space="preserve">AI </w:t>
      </w:r>
      <w:r w:rsidRPr="00A30005">
        <w:rPr>
          <w:rFonts w:ascii="宋体" w:eastAsia="宋体" w:hAnsi="宋体" w:cs="仿宋_GB2312" w:hint="eastAsia"/>
          <w:kern w:val="0"/>
          <w:sz w:val="24"/>
          <w:szCs w:val="24"/>
        </w:rPr>
        <w:t>辅助诊疗</w:t>
      </w:r>
      <w:r w:rsidRPr="00A30005">
        <w:rPr>
          <w:rFonts w:ascii="宋体" w:eastAsia="宋体" w:hAnsi="宋体" w:cs="仿宋_GB2312" w:hint="eastAsia"/>
          <w:kern w:val="0"/>
          <w:sz w:val="24"/>
          <w:szCs w:val="24"/>
        </w:rPr>
        <w:lastRenderedPageBreak/>
        <w:t>应用，支撑智能辨证、个性化方药外治推荐、处方风险预警、病案内涵质控、名医经验复用、疗效预测等功能；开展真实世界研究迭代优化各类模型与智能体，形成可复制推广的数字化应用方案。</w:t>
      </w:r>
    </w:p>
    <w:p w:rsidR="00F57745" w:rsidRPr="00A30005" w:rsidRDefault="00A30005" w:rsidP="00A30005">
      <w:pPr>
        <w:autoSpaceDE w:val="0"/>
        <w:autoSpaceDN w:val="0"/>
        <w:adjustRightInd w:val="0"/>
        <w:spacing w:line="360" w:lineRule="auto"/>
        <w:ind w:firstLineChars="200" w:firstLine="480"/>
        <w:jc w:val="left"/>
        <w:rPr>
          <w:rFonts w:ascii="宋体" w:eastAsia="宋体" w:hAnsi="宋体" w:cs="仿宋_GB2312"/>
          <w:kern w:val="0"/>
          <w:sz w:val="24"/>
          <w:szCs w:val="24"/>
        </w:rPr>
      </w:pPr>
      <w:r w:rsidRPr="00A30005">
        <w:rPr>
          <w:rFonts w:ascii="宋体" w:eastAsia="宋体" w:hAnsi="宋体" w:cs="楷体_GB2312" w:hint="eastAsia"/>
          <w:kern w:val="0"/>
          <w:sz w:val="24"/>
          <w:szCs w:val="24"/>
        </w:rPr>
        <w:t>考核指标：</w:t>
      </w:r>
      <w:r w:rsidRPr="00A30005">
        <w:rPr>
          <w:rFonts w:ascii="宋体" w:eastAsia="宋体" w:hAnsi="宋体" w:cs="仿宋_GB2312" w:hint="eastAsia"/>
          <w:kern w:val="0"/>
          <w:sz w:val="24"/>
          <w:szCs w:val="24"/>
        </w:rPr>
        <w:t>建成高质量专病数据集及配套数据产品</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个；研发相关垂类模型</w:t>
      </w:r>
      <w:r w:rsidRPr="00A30005">
        <w:rPr>
          <w:rFonts w:ascii="宋体" w:eastAsia="宋体" w:hAnsi="宋体" w:cs="TimesNewRomanPSMT"/>
          <w:kern w:val="0"/>
          <w:sz w:val="24"/>
          <w:szCs w:val="24"/>
        </w:rPr>
        <w:t>/</w:t>
      </w:r>
      <w:r w:rsidRPr="00A30005">
        <w:rPr>
          <w:rFonts w:ascii="宋体" w:eastAsia="宋体" w:hAnsi="宋体" w:cs="仿宋_GB2312" w:hint="eastAsia"/>
          <w:kern w:val="0"/>
          <w:sz w:val="24"/>
          <w:szCs w:val="24"/>
        </w:rPr>
        <w:t>临床诊疗智能体</w:t>
      </w:r>
      <w:r>
        <w:rPr>
          <w:rFonts w:ascii="宋体" w:eastAsia="宋体" w:hAnsi="宋体" w:cs="TimesNewRomanPSMT"/>
          <w:kern w:val="0"/>
          <w:sz w:val="24"/>
          <w:szCs w:val="24"/>
        </w:rPr>
        <w:t>1</w:t>
      </w:r>
      <w:r w:rsidRPr="00A30005">
        <w:rPr>
          <w:rFonts w:ascii="宋体" w:eastAsia="宋体" w:hAnsi="宋体" w:cs="仿宋_GB2312" w:hint="eastAsia"/>
          <w:kern w:val="0"/>
          <w:sz w:val="24"/>
          <w:szCs w:val="24"/>
        </w:rPr>
        <w:t>套，并在</w:t>
      </w:r>
      <w:r>
        <w:rPr>
          <w:rFonts w:ascii="宋体" w:eastAsia="宋体" w:hAnsi="宋体" w:cs="TimesNewRomanPSMT"/>
          <w:kern w:val="0"/>
          <w:sz w:val="24"/>
          <w:szCs w:val="24"/>
        </w:rPr>
        <w:t>5</w:t>
      </w:r>
      <w:r w:rsidRPr="00A30005">
        <w:rPr>
          <w:rFonts w:ascii="宋体" w:eastAsia="宋体" w:hAnsi="宋体" w:cs="仿宋_GB2312" w:hint="eastAsia"/>
          <w:kern w:val="0"/>
          <w:sz w:val="24"/>
          <w:szCs w:val="24"/>
        </w:rPr>
        <w:t>家及以上医疗机构落地使用。</w:t>
      </w:r>
      <w:bookmarkStart w:id="0" w:name="_GoBack"/>
      <w:bookmarkEnd w:id="0"/>
    </w:p>
    <w:sectPr w:rsidR="00F57745" w:rsidRPr="00A30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C8" w:rsidRDefault="00A26EC8" w:rsidP="00A30005">
      <w:r>
        <w:separator/>
      </w:r>
    </w:p>
  </w:endnote>
  <w:endnote w:type="continuationSeparator" w:id="0">
    <w:p w:rsidR="00A26EC8" w:rsidRDefault="00A26EC8" w:rsidP="00A3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等线"/>
    <w:panose1 w:val="00000000000000000000"/>
    <w:charset w:val="86"/>
    <w:family w:val="auto"/>
    <w:notTrueType/>
    <w:pitch w:val="default"/>
    <w:sig w:usb0="00000001" w:usb1="080E0000" w:usb2="00000010" w:usb3="00000000" w:csb0="00040000" w:csb1="00000000"/>
  </w:font>
  <w:font w:name="FZXBSJW--GB1-0">
    <w:altName w:val="等线"/>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C8" w:rsidRDefault="00A26EC8" w:rsidP="00A30005">
      <w:r>
        <w:separator/>
      </w:r>
    </w:p>
  </w:footnote>
  <w:footnote w:type="continuationSeparator" w:id="0">
    <w:p w:rsidR="00A26EC8" w:rsidRDefault="00A26EC8" w:rsidP="00A30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1C"/>
    <w:rsid w:val="0083241C"/>
    <w:rsid w:val="00A26EC8"/>
    <w:rsid w:val="00A30005"/>
    <w:rsid w:val="00F5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229"/>
  <w15:chartTrackingRefBased/>
  <w15:docId w15:val="{61CF4D12-98CD-4B31-86AD-47B3115E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0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30005"/>
    <w:rPr>
      <w:sz w:val="18"/>
      <w:szCs w:val="18"/>
    </w:rPr>
  </w:style>
  <w:style w:type="paragraph" w:styleId="a5">
    <w:name w:val="footer"/>
    <w:basedOn w:val="a"/>
    <w:link w:val="a6"/>
    <w:uiPriority w:val="99"/>
    <w:unhideWhenUsed/>
    <w:rsid w:val="00A30005"/>
    <w:pPr>
      <w:tabs>
        <w:tab w:val="center" w:pos="4153"/>
        <w:tab w:val="right" w:pos="8306"/>
      </w:tabs>
      <w:snapToGrid w:val="0"/>
      <w:jc w:val="left"/>
    </w:pPr>
    <w:rPr>
      <w:sz w:val="18"/>
      <w:szCs w:val="18"/>
    </w:rPr>
  </w:style>
  <w:style w:type="character" w:customStyle="1" w:styleId="a6">
    <w:name w:val="页脚 字符"/>
    <w:basedOn w:val="a0"/>
    <w:link w:val="a5"/>
    <w:uiPriority w:val="99"/>
    <w:rsid w:val="00A300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2026-07-08T00:50:00Z</dcterms:created>
  <dcterms:modified xsi:type="dcterms:W3CDTF">2026-07-08T00:56:00Z</dcterms:modified>
</cp:coreProperties>
</file>