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56" w:type="pct"/>
        <w:tblInd w:w="0" w:type="dxa"/>
        <w:tblLayout w:type="fixed"/>
        <w:tblCellMar>
          <w:top w:w="0" w:type="dxa"/>
          <w:left w:w="108" w:type="dxa"/>
          <w:bottom w:w="0" w:type="dxa"/>
          <w:right w:w="108" w:type="dxa"/>
        </w:tblCellMar>
      </w:tblPr>
      <w:tblGrid>
        <w:gridCol w:w="897"/>
        <w:gridCol w:w="2396"/>
        <w:gridCol w:w="10494"/>
        <w:gridCol w:w="1739"/>
      </w:tblGrid>
      <w:tr>
        <w:tblPrEx>
          <w:tblCellMar>
            <w:top w:w="0" w:type="dxa"/>
            <w:left w:w="108" w:type="dxa"/>
            <w:bottom w:w="0" w:type="dxa"/>
            <w:right w:w="108" w:type="dxa"/>
          </w:tblCellMar>
        </w:tblPrEx>
        <w:trPr>
          <w:trHeight w:val="544" w:hRule="atLeast"/>
        </w:trPr>
        <w:tc>
          <w:tcPr>
            <w:tcW w:w="5000" w:type="pct"/>
            <w:gridSpan w:val="4"/>
            <w:tcBorders>
              <w:top w:val="nil"/>
              <w:left w:val="nil"/>
              <w:bottom w:val="single" w:color="auto" w:sz="4" w:space="0"/>
              <w:right w:val="nil"/>
            </w:tcBorders>
            <w:shd w:val="clear" w:color="auto" w:fill="auto"/>
            <w:noWrap/>
            <w:vAlign w:val="center"/>
          </w:tcPr>
          <w:p>
            <w:pPr>
              <w:snapToGrid w:val="0"/>
              <w:spacing w:before="156" w:beforeLines="50" w:after="156" w:afterLines="50"/>
              <w:jc w:val="center"/>
              <w:rPr>
                <w:rFonts w:ascii="方正小标宋简体" w:hAnsi="仿宋_GB2312" w:eastAsia="方正小标宋简体" w:cs="仿宋_GB2312"/>
                <w:color w:val="000000"/>
                <w:kern w:val="0"/>
                <w:sz w:val="36"/>
                <w:szCs w:val="36"/>
                <w:lang w:bidi="ar"/>
              </w:rPr>
            </w:pPr>
            <w:r>
              <w:rPr>
                <w:rFonts w:hint="eastAsia" w:ascii="方正小标宋简体" w:hAnsi="仿宋_GB2312" w:eastAsia="方正小标宋简体" w:cs="仿宋_GB2312"/>
                <w:color w:val="000000"/>
                <w:kern w:val="0"/>
                <w:sz w:val="36"/>
                <w:szCs w:val="36"/>
                <w:lang w:bidi="ar"/>
              </w:rPr>
              <w:t>杭州</w:t>
            </w:r>
            <w:r>
              <w:rPr>
                <w:rFonts w:ascii="方正小标宋简体" w:hAnsi="仿宋_GB2312" w:eastAsia="方正小标宋简体" w:cs="仿宋_GB2312"/>
                <w:color w:val="000000"/>
                <w:kern w:val="0"/>
                <w:sz w:val="36"/>
                <w:szCs w:val="36"/>
                <w:lang w:bidi="ar"/>
              </w:rPr>
              <w:t>市</w:t>
            </w:r>
            <w:r>
              <w:rPr>
                <w:rFonts w:hint="eastAsia" w:ascii="方正小标宋简体" w:hAnsi="仿宋_GB2312" w:eastAsia="方正小标宋简体" w:cs="仿宋_GB2312"/>
                <w:color w:val="000000"/>
                <w:kern w:val="0"/>
                <w:sz w:val="36"/>
                <w:szCs w:val="36"/>
                <w:lang w:bidi="ar"/>
              </w:rPr>
              <w:t>“社科赋能行动”需求清单</w:t>
            </w:r>
          </w:p>
        </w:tc>
      </w:tr>
      <w:tr>
        <w:tblPrEx>
          <w:tblCellMar>
            <w:top w:w="0" w:type="dxa"/>
            <w:left w:w="108" w:type="dxa"/>
            <w:bottom w:w="0" w:type="dxa"/>
            <w:right w:w="108" w:type="dxa"/>
          </w:tblCellMar>
        </w:tblPrEx>
        <w:trPr>
          <w:trHeight w:val="544" w:hRule="atLeast"/>
        </w:trPr>
        <w:tc>
          <w:tcPr>
            <w:tcW w:w="28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区县（市）</w:t>
            </w:r>
          </w:p>
        </w:tc>
        <w:tc>
          <w:tcPr>
            <w:tcW w:w="77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课题研究类项目名称</w:t>
            </w:r>
          </w:p>
        </w:tc>
        <w:tc>
          <w:tcPr>
            <w:tcW w:w="3379"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需求简介</w:t>
            </w:r>
          </w:p>
        </w:tc>
        <w:tc>
          <w:tcPr>
            <w:tcW w:w="560"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预期成果形式</w:t>
            </w:r>
          </w:p>
        </w:tc>
      </w:tr>
      <w:tr>
        <w:tblPrEx>
          <w:tblCellMar>
            <w:top w:w="0" w:type="dxa"/>
            <w:left w:w="108" w:type="dxa"/>
            <w:bottom w:w="0" w:type="dxa"/>
            <w:right w:w="108" w:type="dxa"/>
          </w:tblCellMar>
        </w:tblPrEx>
        <w:trPr>
          <w:trHeight w:val="544" w:hRule="atLeast"/>
        </w:trPr>
        <w:tc>
          <w:tcPr>
            <w:tcW w:w="288" w:type="pct"/>
            <w:vMerge w:val="restart"/>
            <w:tcBorders>
              <w:left w:val="single" w:color="000000" w:sz="4" w:space="0"/>
              <w:right w:val="single" w:color="000000" w:sz="4" w:space="0"/>
            </w:tcBorders>
            <w:shd w:val="clear" w:color="auto" w:fill="auto"/>
            <w:noWrap/>
            <w:vAlign w:val="center"/>
          </w:tcPr>
          <w:p>
            <w:pPr>
              <w:widowControl/>
              <w:snapToGrid w:val="0"/>
              <w:jc w:val="center"/>
              <w:textAlignment w:val="center"/>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富</w:t>
            </w:r>
          </w:p>
          <w:p>
            <w:pPr>
              <w:widowControl/>
              <w:snapToGrid w:val="0"/>
              <w:jc w:val="center"/>
              <w:textAlignment w:val="center"/>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阳</w:t>
            </w:r>
          </w:p>
          <w:p>
            <w:pPr>
              <w:widowControl/>
              <w:snapToGrid w:val="0"/>
              <w:jc w:val="center"/>
              <w:textAlignment w:val="center"/>
              <w:rPr>
                <w:rFonts w:ascii="宋体" w:hAnsi="宋体" w:eastAsia="宋体" w:cs="宋体"/>
                <w:b/>
                <w:bCs/>
                <w:color w:val="000000"/>
                <w:kern w:val="0"/>
                <w:sz w:val="24"/>
                <w:lang w:bidi="ar"/>
              </w:rPr>
            </w:pPr>
            <w:r>
              <w:rPr>
                <w:rFonts w:hint="eastAsia" w:ascii="仿宋_GB2312" w:hAnsi="宋体" w:eastAsia="仿宋_GB2312" w:cs="宋体"/>
                <w:color w:val="000000"/>
                <w:kern w:val="0"/>
                <w:sz w:val="24"/>
                <w:lang w:bidi="ar"/>
              </w:rPr>
              <w:t>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新经济形势下推进低效用地再开发路径探索</w:t>
            </w:r>
          </w:p>
        </w:tc>
        <w:tc>
          <w:tcPr>
            <w:tcW w:w="3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2023年9月，自然资源部下发《关于开展低效用地再开发试点工作通知》，明确将杭州市列入试点城市之一，杭州市于2024年1月正式下发《杭州市推进低效用地再开发试点工作实施方案》。当前存在的问题：因地处偏远、基础设施不完善、产业定位不明确或者政策支持不足，部分工业用地长期处于未被充分利用的状态；与此同时，高效发展的企业面临用地紧张，可用土地资源稀缺或与企业发展需求不匹配。低效用地不仅浪费宝贵的土地资源，也抑制经济发展潜力，影响地区整体经济增长。本课题拟以各镇街、平台及国资集团所辖的低效工业园区、厂房、场站、商业服务设施及城中村改造等项目为调研重点，以创新政策落地实施为工作要求，打造本轮低效用地再开发工作的样板区块和示范项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仿宋_GB2312" w:hAnsi="宋体" w:eastAsia="仿宋_GB2312" w:cs="宋体"/>
                <w:color w:val="000000"/>
                <w:kern w:val="0"/>
                <w:sz w:val="24"/>
                <w:lang w:bidi="ar"/>
              </w:rPr>
            </w:pPr>
            <w:r>
              <w:rPr>
                <w:rFonts w:hint="eastAsia" w:ascii="仿宋_GB2312" w:hAnsi="仿宋_GB2312" w:eastAsia="仿宋_GB2312" w:cs="仿宋_GB2312"/>
                <w:sz w:val="24"/>
              </w:rPr>
              <w:t>高质量</w:t>
            </w:r>
            <w:r>
              <w:rPr>
                <w:rFonts w:hint="eastAsia" w:ascii="仿宋_GB2312" w:hAnsi="宋体" w:eastAsia="仿宋_GB2312" w:cs="宋体"/>
                <w:color w:val="000000"/>
                <w:kern w:val="0"/>
                <w:sz w:val="24"/>
                <w:lang w:bidi="ar"/>
              </w:rPr>
              <w:t>研究报告或高水平咨政报告</w:t>
            </w:r>
          </w:p>
        </w:tc>
      </w:tr>
      <w:tr>
        <w:tblPrEx>
          <w:tblCellMar>
            <w:top w:w="0" w:type="dxa"/>
            <w:left w:w="108" w:type="dxa"/>
            <w:bottom w:w="0" w:type="dxa"/>
            <w:right w:w="108" w:type="dxa"/>
          </w:tblCellMar>
        </w:tblPrEx>
        <w:trPr>
          <w:trHeight w:val="544" w:hRule="atLeast"/>
        </w:trPr>
        <w:tc>
          <w:tcPr>
            <w:tcW w:w="288" w:type="pct"/>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eastAsia="宋体" w:cs="宋体"/>
                <w:b/>
                <w:bCs/>
                <w:color w:val="000000"/>
                <w:kern w:val="0"/>
                <w:sz w:val="24"/>
                <w:lang w:bidi="ar"/>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探索“区域带组团”助力共同富裕的经验研究</w:t>
            </w:r>
          </w:p>
        </w:tc>
        <w:tc>
          <w:tcPr>
            <w:tcW w:w="3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在浙江省、杭州市关于区域协调政策引导持续深化的大背景下，富阳找准政策结合点，发挥自身特色，以区域组团联动带动城乡共富缩小城乡差距为主攻方向，率先突破乡镇行政边界，聚焦“蓝图共绘、交通共联、产业共兴、设施共建、服务共享、社会共治”六共建设，联动带动区域组团深化体制机制创新，实现资源的优化组合和转化。持续打造组团联动促进区域共富的升级版，为省市城乡区域协调发展争做示范、勇当标兵。本课题拟总结当前富阳区在区域联动方面的做法、成效及存在的问题，结合富阳发展需求及趋势，进一步深化组团联动的思路和重点，提出具体的发展路径和抓手。</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仿宋_GB2312" w:hAnsi="宋体" w:eastAsia="仿宋_GB2312" w:cs="宋体"/>
                <w:color w:val="000000"/>
                <w:kern w:val="0"/>
                <w:sz w:val="24"/>
                <w:lang w:bidi="ar"/>
              </w:rPr>
            </w:pPr>
            <w:r>
              <w:rPr>
                <w:rFonts w:hint="eastAsia" w:ascii="仿宋_GB2312" w:hAnsi="仿宋_GB2312" w:eastAsia="仿宋_GB2312" w:cs="仿宋_GB2312"/>
                <w:sz w:val="24"/>
              </w:rPr>
              <w:t>高质量</w:t>
            </w:r>
            <w:r>
              <w:rPr>
                <w:rFonts w:hint="eastAsia" w:ascii="仿宋_GB2312" w:hAnsi="宋体" w:eastAsia="仿宋_GB2312" w:cs="宋体"/>
                <w:color w:val="000000"/>
                <w:kern w:val="0"/>
                <w:sz w:val="24"/>
                <w:lang w:bidi="ar"/>
              </w:rPr>
              <w:t>研究报告或高水平咨政报告</w:t>
            </w:r>
          </w:p>
        </w:tc>
      </w:tr>
      <w:tr>
        <w:tblPrEx>
          <w:tblCellMar>
            <w:top w:w="0" w:type="dxa"/>
            <w:left w:w="108" w:type="dxa"/>
            <w:bottom w:w="0" w:type="dxa"/>
            <w:right w:w="108" w:type="dxa"/>
          </w:tblCellMar>
        </w:tblPrEx>
        <w:trPr>
          <w:trHeight w:val="544" w:hRule="atLeast"/>
        </w:trPr>
        <w:tc>
          <w:tcPr>
            <w:tcW w:w="288" w:type="pct"/>
            <w:vMerge w:val="continue"/>
            <w:tcBorders>
              <w:left w:val="single" w:color="000000" w:sz="4" w:space="0"/>
              <w:right w:val="single" w:color="000000" w:sz="4" w:space="0"/>
            </w:tcBorders>
            <w:shd w:val="clear" w:color="auto" w:fill="auto"/>
            <w:noWrap/>
            <w:vAlign w:val="center"/>
          </w:tcPr>
          <w:p>
            <w:pPr>
              <w:widowControl/>
              <w:snapToGrid w:val="0"/>
              <w:jc w:val="center"/>
              <w:textAlignment w:val="center"/>
              <w:rPr>
                <w:rFonts w:ascii="宋体" w:hAnsi="宋体" w:eastAsia="宋体" w:cs="宋体"/>
                <w:b/>
                <w:bCs/>
                <w:color w:val="000000"/>
                <w:kern w:val="0"/>
                <w:sz w:val="24"/>
                <w:lang w:bidi="ar"/>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遗产活化视角下考古遗址公园的保护展示策略——以泗洲造纸考古遗址公园为例</w:t>
            </w:r>
          </w:p>
        </w:tc>
        <w:tc>
          <w:tcPr>
            <w:tcW w:w="3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泗洲造纸考古遗址公园以第七批全国重点文物保护单位泗洲造纸作坊遗址为整体价值阐释与展示的核心，拟打造富阳造纸文化展示的新窗口，谱写杭州宋韵文化展示的新篇章。泗洲造纸考古遗址公园是对国家文化遗产活化利用、科技化保护展示等要求的有效落实，对于打造“宋韵文化传世工程”，助力地方经济发展、实现共同富裕具有重要意义。当前考古遗址公园在规划过程中普遍存在遗址展示保护与发展利用的矛盾，如过度追求商业化限制了遗址保护；另一方面由于展示模式单一化等，与遗址自身内蕴的独特历史文化意蕴相去甚远。本课题尝试立足遗产活化视角探索考古遗址公园遗产展示与保护策略，探讨如何将考古遗址公园做“活”，为泗洲造纸考古遗址公园的遗产展示与保护建言献策。</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仿宋_GB2312" w:hAnsi="宋体" w:eastAsia="仿宋_GB2312" w:cs="宋体"/>
                <w:color w:val="000000"/>
                <w:kern w:val="0"/>
                <w:sz w:val="24"/>
                <w:lang w:bidi="ar"/>
              </w:rPr>
            </w:pPr>
            <w:r>
              <w:rPr>
                <w:rFonts w:hint="eastAsia" w:ascii="仿宋_GB2312" w:hAnsi="仿宋_GB2312" w:eastAsia="仿宋_GB2312" w:cs="仿宋_GB2312"/>
                <w:sz w:val="24"/>
              </w:rPr>
              <w:t>高质量研究报告</w:t>
            </w:r>
            <w:r>
              <w:rPr>
                <w:rFonts w:hint="eastAsia" w:ascii="仿宋_GB2312" w:hAnsi="宋体" w:eastAsia="仿宋_GB2312" w:cs="宋体"/>
                <w:color w:val="000000"/>
                <w:kern w:val="0"/>
                <w:sz w:val="24"/>
                <w:lang w:bidi="ar"/>
              </w:rPr>
              <w:t>或高水平咨政报告</w:t>
            </w:r>
          </w:p>
        </w:tc>
      </w:tr>
      <w:tr>
        <w:tblPrEx>
          <w:tblCellMar>
            <w:top w:w="0" w:type="dxa"/>
            <w:left w:w="108" w:type="dxa"/>
            <w:bottom w:w="0" w:type="dxa"/>
            <w:right w:w="108" w:type="dxa"/>
          </w:tblCellMar>
        </w:tblPrEx>
        <w:trPr>
          <w:trHeight w:val="544" w:hRule="atLeast"/>
        </w:trPr>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hint="eastAsia" w:ascii="仿宋_GB2312" w:hAnsi="宋体" w:eastAsia="仿宋_GB2312" w:cs="宋体"/>
                <w:color w:val="000000"/>
                <w:kern w:val="0"/>
                <w:sz w:val="24"/>
                <w:lang w:bidi="ar"/>
              </w:rPr>
            </w:pPr>
          </w:p>
          <w:p>
            <w:pPr>
              <w:widowControl/>
              <w:snapToGrid w:val="0"/>
              <w:jc w:val="center"/>
              <w:textAlignment w:val="center"/>
              <w:rPr>
                <w:rFonts w:hint="eastAsia" w:ascii="仿宋_GB2312" w:hAnsi="宋体" w:eastAsia="仿宋_GB2312" w:cs="宋体"/>
                <w:color w:val="000000"/>
                <w:kern w:val="0"/>
                <w:sz w:val="24"/>
                <w:lang w:bidi="ar"/>
              </w:rPr>
            </w:pPr>
          </w:p>
          <w:p>
            <w:pPr>
              <w:widowControl/>
              <w:snapToGrid w:val="0"/>
              <w:jc w:val="center"/>
              <w:textAlignment w:val="center"/>
              <w:rPr>
                <w:rFonts w:hint="eastAsia" w:ascii="仿宋_GB2312" w:hAnsi="宋体" w:eastAsia="仿宋_GB2312" w:cs="宋体"/>
                <w:color w:val="000000"/>
                <w:kern w:val="0"/>
                <w:sz w:val="24"/>
                <w:lang w:bidi="ar"/>
              </w:rPr>
            </w:pPr>
          </w:p>
          <w:p>
            <w:pPr>
              <w:widowControl/>
              <w:snapToGrid w:val="0"/>
              <w:jc w:val="center"/>
              <w:textAlignment w:val="center"/>
              <w:rPr>
                <w:rFonts w:hint="eastAsia" w:ascii="仿宋_GB2312" w:hAnsi="宋体" w:eastAsia="仿宋_GB2312" w:cs="宋体"/>
                <w:color w:val="000000"/>
                <w:kern w:val="0"/>
                <w:sz w:val="24"/>
                <w:lang w:bidi="ar"/>
              </w:rPr>
            </w:pPr>
          </w:p>
          <w:p>
            <w:pPr>
              <w:widowControl/>
              <w:snapToGrid w:val="0"/>
              <w:jc w:val="center"/>
              <w:textAlignment w:val="center"/>
              <w:rPr>
                <w:rFonts w:hint="eastAsia" w:ascii="仿宋_GB2312" w:hAnsi="宋体" w:eastAsia="仿宋_GB2312" w:cs="宋体"/>
                <w:color w:val="000000"/>
                <w:kern w:val="0"/>
                <w:sz w:val="24"/>
                <w:lang w:bidi="ar"/>
              </w:rPr>
            </w:pPr>
          </w:p>
          <w:p>
            <w:pPr>
              <w:widowControl/>
              <w:snapToGrid w:val="0"/>
              <w:jc w:val="center"/>
              <w:textAlignment w:val="center"/>
              <w:rPr>
                <w:rFonts w:hint="eastAsia" w:ascii="仿宋_GB2312" w:hAnsi="宋体" w:eastAsia="仿宋_GB2312" w:cs="宋体"/>
                <w:color w:val="000000"/>
                <w:kern w:val="0"/>
                <w:sz w:val="24"/>
                <w:lang w:bidi="ar"/>
              </w:rPr>
            </w:pPr>
          </w:p>
          <w:p>
            <w:pPr>
              <w:widowControl/>
              <w:snapToGrid w:val="0"/>
              <w:jc w:val="center"/>
              <w:textAlignment w:val="center"/>
              <w:rPr>
                <w:rFonts w:hint="eastAsia" w:ascii="仿宋_GB2312" w:hAnsi="宋体" w:eastAsia="仿宋_GB2312" w:cs="宋体"/>
                <w:color w:val="000000"/>
                <w:kern w:val="0"/>
                <w:sz w:val="24"/>
                <w:lang w:bidi="ar"/>
              </w:rPr>
            </w:pPr>
          </w:p>
          <w:p>
            <w:pPr>
              <w:widowControl/>
              <w:snapToGrid w:val="0"/>
              <w:jc w:val="center"/>
              <w:textAlignment w:val="center"/>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临</w:t>
            </w:r>
          </w:p>
          <w:p>
            <w:pPr>
              <w:widowControl/>
              <w:snapToGrid w:val="0"/>
              <w:jc w:val="center"/>
              <w:textAlignment w:val="center"/>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安</w:t>
            </w:r>
          </w:p>
          <w:p>
            <w:pPr>
              <w:widowControl/>
              <w:snapToGrid w:val="0"/>
              <w:jc w:val="center"/>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以高质量招商引智推动高质量发展</w:t>
            </w:r>
          </w:p>
        </w:tc>
        <w:tc>
          <w:tcPr>
            <w:tcW w:w="3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招商引智是推动高质量发展的重要抓手和不竭动力。近年来，临安锚定产业强区首位战略，持之以恒调结构、转方式、换动能，做了大量打基础、利长远、固根本的工作，招商引智工作实现了较大突破，但还是面临着经济体量不大、产业结构尚需优化等一些瓶颈问题亟待突破。如何进一步解决好大抓招商、大干项目等打基础利长远的务实之举、补短板强弱项的关键之策、稳增长提质效的制胜之道，是临安迫切需要解决的问题。</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仿宋_GB2312" w:hAnsi="宋体" w:eastAsia="仿宋_GB2312" w:cs="宋体"/>
                <w:color w:val="000000"/>
                <w:kern w:val="0"/>
                <w:sz w:val="24"/>
                <w:lang w:bidi="ar"/>
              </w:rPr>
            </w:pPr>
            <w:r>
              <w:rPr>
                <w:rFonts w:hint="eastAsia" w:ascii="仿宋_GB2312" w:hAnsi="仿宋_GB2312" w:eastAsia="仿宋_GB2312" w:cs="仿宋_GB2312"/>
                <w:sz w:val="24"/>
              </w:rPr>
              <w:t>高质量研究报告</w:t>
            </w:r>
            <w:r>
              <w:rPr>
                <w:rFonts w:hint="eastAsia" w:ascii="仿宋_GB2312" w:hAnsi="宋体" w:eastAsia="仿宋_GB2312" w:cs="宋体"/>
                <w:color w:val="000000"/>
                <w:kern w:val="0"/>
                <w:sz w:val="24"/>
                <w:lang w:bidi="ar"/>
              </w:rPr>
              <w:t>或高水平咨政报告</w:t>
            </w:r>
          </w:p>
        </w:tc>
      </w:tr>
      <w:tr>
        <w:tblPrEx>
          <w:tblCellMar>
            <w:top w:w="0" w:type="dxa"/>
            <w:left w:w="108" w:type="dxa"/>
            <w:bottom w:w="0" w:type="dxa"/>
            <w:right w:w="108" w:type="dxa"/>
          </w:tblCellMar>
        </w:tblPrEx>
        <w:trPr>
          <w:trHeight w:val="544"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仿宋_GB2312" w:hAnsi="宋体" w:eastAsia="仿宋_GB2312" w:cs="宋体"/>
                <w:color w:val="000000"/>
                <w:sz w:val="24"/>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吴越国“保境安民”策略对长三角地区发展的重要影响</w:t>
            </w:r>
          </w:p>
        </w:tc>
        <w:tc>
          <w:tcPr>
            <w:tcW w:w="3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abs>
                <w:tab w:val="left" w:pos="1492"/>
              </w:tabs>
              <w:snapToGrid w:val="0"/>
              <w:jc w:val="left"/>
              <w:textAlignment w:val="center"/>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纵观吴越国的发展，为后世1000年中国东南地区（长三角地区）的经济繁荣奠定了基础，为中华文明的存续作出了自己独特的贡献。当前存在的问题：国内相应研究较少；临安区内缺少吴越文化理论探究、学术攻坚的专门力量。需要解决的问题：厘清五代十国背景下吴越国“保境安民”政策及特点；总结提炼吴越国“保境安民”对北宋、南宋经济发展的影响、在中国古代中国东南地区经济发展的影响；梳理、概括“保境安民”对于解决今天发展“新质生产力”的历史镜鉴价值。</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仿宋_GB2312" w:hAnsi="宋体" w:eastAsia="仿宋_GB2312" w:cs="宋体"/>
                <w:color w:val="000000"/>
                <w:kern w:val="0"/>
                <w:sz w:val="24"/>
                <w:lang w:bidi="ar"/>
              </w:rPr>
            </w:pPr>
            <w:r>
              <w:rPr>
                <w:rFonts w:hint="eastAsia" w:ascii="仿宋_GB2312" w:hAnsi="仿宋_GB2312" w:eastAsia="仿宋_GB2312" w:cs="仿宋_GB2312"/>
                <w:sz w:val="24"/>
              </w:rPr>
              <w:t>高质量研究报告</w:t>
            </w:r>
            <w:r>
              <w:rPr>
                <w:rFonts w:hint="eastAsia" w:ascii="仿宋_GB2312" w:hAnsi="宋体" w:eastAsia="仿宋_GB2312" w:cs="宋体"/>
                <w:color w:val="000000"/>
                <w:kern w:val="0"/>
                <w:sz w:val="24"/>
                <w:lang w:bidi="ar"/>
              </w:rPr>
              <w:t>或高水平咨政报告</w:t>
            </w:r>
          </w:p>
        </w:tc>
      </w:tr>
      <w:tr>
        <w:tblPrEx>
          <w:tblCellMar>
            <w:top w:w="0" w:type="dxa"/>
            <w:left w:w="108" w:type="dxa"/>
            <w:bottom w:w="0" w:type="dxa"/>
            <w:right w:w="108" w:type="dxa"/>
          </w:tblCellMar>
        </w:tblPrEx>
        <w:trPr>
          <w:trHeight w:val="544" w:hRule="atLeast"/>
        </w:trPr>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仿宋_GB2312" w:hAnsi="宋体" w:eastAsia="仿宋_GB2312" w:cs="宋体"/>
                <w:color w:val="000000"/>
                <w:sz w:val="24"/>
              </w:rPr>
            </w:pP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深化“千万工程” 助力和美乡村探索共同富裕</w:t>
            </w:r>
          </w:p>
        </w:tc>
        <w:tc>
          <w:tcPr>
            <w:tcW w:w="3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2004年1月15日,时任浙江省委书记习近平到临安考察生态建设时提出“临安要继续在生态建设上发挥示范、龙头和领跑作用，走在全省前列，为生态省建设作出贡献” ，他也曾2次点赞临安“千万工程”实践做法。当前存在的问题：“千万工程”实施经过20多年的实践，目前已进入转型升级的关键时刻，如何探索和美乡村实现共同富裕是现阶段的重点；临安区内缺少如何深化“千万工程”，助力和美乡村探索共同富裕理论探究、学术攻坚的专门力量。需要解决的问题：提炼临安20年来“千万工程”特色做法、显著成效；重点梳理、提出新一轮“千万工程”再出发目标体系，发展方向。</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textAlignment w:val="center"/>
              <w:rPr>
                <w:rFonts w:ascii="仿宋_GB2312" w:hAnsi="宋体" w:eastAsia="仿宋_GB2312" w:cs="宋体"/>
                <w:color w:val="000000"/>
                <w:kern w:val="0"/>
                <w:sz w:val="24"/>
                <w:lang w:bidi="ar"/>
              </w:rPr>
            </w:pPr>
            <w:r>
              <w:rPr>
                <w:rFonts w:hint="eastAsia" w:ascii="仿宋_GB2312" w:hAnsi="仿宋_GB2312" w:eastAsia="仿宋_GB2312" w:cs="仿宋_GB2312"/>
                <w:sz w:val="24"/>
              </w:rPr>
              <w:t>高质量研究报告</w:t>
            </w:r>
            <w:r>
              <w:rPr>
                <w:rFonts w:hint="eastAsia" w:ascii="仿宋_GB2312" w:hAnsi="宋体" w:eastAsia="仿宋_GB2312" w:cs="宋体"/>
                <w:color w:val="000000"/>
                <w:kern w:val="0"/>
                <w:sz w:val="24"/>
                <w:lang w:bidi="ar"/>
              </w:rPr>
              <w:t>或高水平咨政报告</w:t>
            </w:r>
          </w:p>
        </w:tc>
      </w:tr>
      <w:tr>
        <w:tblPrEx>
          <w:tblCellMar>
            <w:top w:w="0" w:type="dxa"/>
            <w:left w:w="108" w:type="dxa"/>
            <w:bottom w:w="0" w:type="dxa"/>
            <w:right w:w="108" w:type="dxa"/>
          </w:tblCellMar>
        </w:tblPrEx>
        <w:trPr>
          <w:trHeight w:val="544" w:hRule="atLeast"/>
        </w:trPr>
        <w:tc>
          <w:tcPr>
            <w:tcW w:w="288" w:type="pct"/>
            <w:vMerge w:val="restart"/>
            <w:tcBorders>
              <w:top w:val="single" w:color="auto" w:sz="4" w:space="0"/>
              <w:left w:val="single" w:color="auto" w:sz="4" w:space="0"/>
              <w:right w:val="single" w:color="000000" w:sz="4" w:space="0"/>
            </w:tcBorders>
            <w:shd w:val="clear" w:color="auto" w:fill="auto"/>
            <w:noWrap/>
            <w:vAlign w:val="center"/>
          </w:tcPr>
          <w:p>
            <w:pPr>
              <w:snapToGrid w:val="0"/>
              <w:jc w:val="center"/>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建</w:t>
            </w:r>
          </w:p>
          <w:p>
            <w:pPr>
              <w:snapToGrid w:val="0"/>
              <w:jc w:val="center"/>
              <w:rPr>
                <w:rFonts w:ascii="仿宋_GB2312" w:hAnsi="宋体" w:eastAsia="仿宋_GB2312" w:cs="宋体"/>
                <w:color w:val="000000"/>
                <w:kern w:val="0"/>
                <w:sz w:val="24"/>
                <w:lang w:bidi="ar"/>
              </w:rPr>
            </w:pPr>
            <w:r>
              <w:rPr>
                <w:rFonts w:hint="eastAsia" w:ascii="仿宋_GB2312" w:hAnsi="宋体" w:eastAsia="仿宋_GB2312" w:cs="宋体"/>
                <w:color w:val="000000"/>
                <w:kern w:val="0"/>
                <w:sz w:val="24"/>
                <w:lang w:bidi="ar"/>
              </w:rPr>
              <w:t>德</w:t>
            </w:r>
          </w:p>
          <w:p>
            <w:pPr>
              <w:snapToGrid w:val="0"/>
              <w:jc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市</w:t>
            </w:r>
          </w:p>
        </w:tc>
        <w:tc>
          <w:tcPr>
            <w:tcW w:w="771" w:type="pct"/>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napToGrid w:val="0"/>
              <w:jc w:val="left"/>
              <w:textAlignment w:val="center"/>
              <w:rPr>
                <w:rFonts w:ascii="仿宋_GB2312" w:hAnsi="宋体" w:eastAsia="仿宋_GB2312" w:cs="宋体"/>
                <w:color w:val="000000"/>
                <w:sz w:val="24"/>
              </w:rPr>
            </w:pPr>
            <w:r>
              <w:rPr>
                <w:rFonts w:hint="eastAsia" w:ascii="仿宋_GB2312" w:hAnsi="宋体" w:eastAsia="仿宋_GB2312" w:cs="宋体"/>
                <w:color w:val="000000"/>
                <w:kern w:val="0"/>
                <w:sz w:val="24"/>
                <w:lang w:bidi="ar"/>
              </w:rPr>
              <w:t>打造“五好两宜”和美乡村产业发展平台</w:t>
            </w:r>
          </w:p>
        </w:tc>
        <w:tc>
          <w:tcPr>
            <w:tcW w:w="337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仿宋_GB2312" w:hAnsi="宋体" w:eastAsia="仿宋_GB2312" w:cs="宋体"/>
                <w:color w:val="000000"/>
                <w:kern w:val="0"/>
                <w:sz w:val="24"/>
                <w:lang w:bidi="ar"/>
              </w:rPr>
            </w:pPr>
            <w:r>
              <w:rPr>
                <w:rFonts w:hint="eastAsia" w:ascii="仿宋_GB2312" w:hAnsi="仿宋_GB2312" w:eastAsia="仿宋_GB2312" w:cs="仿宋_GB2312"/>
                <w:sz w:val="24"/>
              </w:rPr>
              <w:t>“五好两宜”和美乡村是国家</w:t>
            </w:r>
            <w:r>
              <w:fldChar w:fldCharType="begin"/>
            </w:r>
            <w:r>
              <w:instrText xml:space="preserve"> HYPERLINK "https://www.baidu.com/s?rsv_idx=1&amp;ch=2&amp;tn=site888_2_pg&amp;wd=%E8%B4%A2%E6%94%BF%E9%83%A8&amp;fenlei=256&amp;usm=2&amp;ie=utf-8&amp;rsv_pq=985e418d003f5c65&amp;oq=%E4%BA%94%E5%A5%BD%E4%B8%A4%E5%AE%9C&amp;rsv_t=ee32qyAbhvpPKNykO99u/fXlqwxUPGiJas04S5JgIvFw/unKTOcQEppwJGC7dndXyqDY&amp;sa=re_dqa_zy&amp;icon=1" \t "/home/user/Documents\x/_self" </w:instrText>
            </w:r>
            <w:r>
              <w:fldChar w:fldCharType="separate"/>
            </w:r>
            <w:r>
              <w:rPr>
                <w:rFonts w:ascii="仿宋_GB2312" w:hAnsi="仿宋_GB2312" w:eastAsia="仿宋_GB2312" w:cs="仿宋_GB2312"/>
                <w:sz w:val="24"/>
              </w:rPr>
              <w:t>财政部</w:t>
            </w:r>
            <w:r>
              <w:rPr>
                <w:rFonts w:ascii="仿宋_GB2312" w:hAnsi="仿宋_GB2312" w:eastAsia="仿宋_GB2312" w:cs="仿宋_GB2312"/>
                <w:sz w:val="24"/>
              </w:rPr>
              <w:fldChar w:fldCharType="end"/>
            </w:r>
            <w:r>
              <w:rPr>
                <w:rFonts w:ascii="仿宋_GB2312" w:hAnsi="仿宋_GB2312" w:eastAsia="仿宋_GB2312" w:cs="仿宋_GB2312"/>
                <w:sz w:val="24"/>
              </w:rPr>
              <w:t>、</w:t>
            </w:r>
            <w:r>
              <w:fldChar w:fldCharType="begin"/>
            </w:r>
            <w:r>
              <w:instrText xml:space="preserve"> HYPERLINK "https://www.baidu.com/s?rsv_idx=1&amp;ch=2&amp;tn=site888_2_pg&amp;wd=%E5%86%9C%E4%B8%9A%E5%86%9C%E6%9D%91%E9%83%A8&amp;fenlei=256&amp;usm=2&amp;ie=utf-8&amp;rsv_pq=985e418d003f5c65&amp;oq=%E4%BA%94%E5%A5%BD%E4%B8%A4%E5%AE%9C&amp;rsv_t=3e10MijMGknoW2PXDX3mytKdffvOXp6EEyt5Ddnj9m0RbHGq+o/7PIdKVB6iKGwGDQr+&amp;sa=re_dqa_zy&amp;icon=1" \t "/home/user/Documents\x/_self" </w:instrText>
            </w:r>
            <w:r>
              <w:fldChar w:fldCharType="separate"/>
            </w:r>
            <w:r>
              <w:rPr>
                <w:rFonts w:ascii="仿宋_GB2312" w:hAnsi="仿宋_GB2312" w:eastAsia="仿宋_GB2312" w:cs="仿宋_GB2312"/>
                <w:sz w:val="24"/>
              </w:rPr>
              <w:t>农业农村部</w:t>
            </w:r>
            <w:r>
              <w:rPr>
                <w:rFonts w:ascii="仿宋_GB2312" w:hAnsi="仿宋_GB2312" w:eastAsia="仿宋_GB2312" w:cs="仿宋_GB2312"/>
                <w:sz w:val="24"/>
              </w:rPr>
              <w:fldChar w:fldCharType="end"/>
            </w:r>
            <w:r>
              <w:rPr>
                <w:rFonts w:hint="eastAsia" w:ascii="仿宋_GB2312" w:hAnsi="仿宋_GB2312" w:eastAsia="仿宋_GB2312" w:cs="仿宋_GB2312"/>
                <w:sz w:val="24"/>
              </w:rPr>
              <w:t>支</w:t>
            </w:r>
            <w:r>
              <w:rPr>
                <w:rFonts w:ascii="仿宋_GB2312" w:hAnsi="仿宋_GB2312" w:eastAsia="仿宋_GB2312" w:cs="仿宋_GB2312"/>
                <w:sz w:val="24"/>
              </w:rPr>
              <w:t>持</w:t>
            </w:r>
            <w:r>
              <w:rPr>
                <w:rFonts w:hint="eastAsia" w:ascii="仿宋_GB2312" w:hAnsi="仿宋_GB2312" w:eastAsia="仿宋_GB2312" w:cs="仿宋_GB2312"/>
                <w:sz w:val="24"/>
              </w:rPr>
              <w:t>地方探索和创新</w:t>
            </w:r>
            <w:r>
              <w:rPr>
                <w:rFonts w:ascii="仿宋_GB2312" w:hAnsi="仿宋_GB2312" w:eastAsia="仿宋_GB2312" w:cs="仿宋_GB2312"/>
                <w:sz w:val="24"/>
              </w:rPr>
              <w:t>的一项新农村综合改革试点试验项目，旨在通过试点探索适应不同地区的乡村振兴路径和方法。</w:t>
            </w:r>
            <w:r>
              <w:rPr>
                <w:rFonts w:hint="eastAsia" w:ascii="仿宋_GB2312" w:hAnsi="仿宋_GB2312" w:eastAsia="仿宋_GB2312" w:cs="仿宋_GB2312"/>
                <w:sz w:val="24"/>
              </w:rPr>
              <w:t>建德是浙江省首批部省共建乡村振兴示范区建设试点、浙江省美丽乡村建设示范县，建德市大同镇是两部委确定的全镇域推进“五好两宜”和美乡村试点。建德市明确从2024年起，将跨乡镇统筹，打造具有辩识度的山水林田湖草共富综合体，重点聚焦跨乡镇土地综合整治、农业产业链延伸、农村要素全量转化等文章，在强村富民上深化探索，带动全域乡村振兴。近年来，建德依托主导、特色农业产业，根据山区特点，大力实施全镇产业提升项目和农业“标准地”项目，以草莓、茶叶、莲子、西红花等国家地理标志农产品以及禽蛋等优势产业为重点的精品、特色产业加快发展，尤其是大同等乡镇，成为富民增收的重要增长板块，同时，结合农业产业优势和美丽乡村建设，乡村旅游等乡村产业加快发展。打造“五好两宜”和美乡村，实现强村富民，关键在延伸产业链、打造产业发展平台。打造与“五好两宜”和美乡村建设相配套的产业平台，是深入实施新时代“千万工程”、推进此项改革的重要内容。</w:t>
            </w:r>
          </w:p>
        </w:tc>
        <w:tc>
          <w:tcPr>
            <w:tcW w:w="56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napToGrid w:val="0"/>
              <w:jc w:val="left"/>
              <w:textAlignment w:val="center"/>
              <w:rPr>
                <w:rFonts w:ascii="仿宋_GB2312" w:hAnsi="仿宋_GB2312" w:eastAsia="仿宋_GB2312" w:cs="仿宋_GB2312"/>
                <w:sz w:val="24"/>
              </w:rPr>
            </w:pPr>
            <w:r>
              <w:rPr>
                <w:rFonts w:hint="eastAsia" w:ascii="仿宋_GB2312" w:hAnsi="仿宋_GB2312" w:eastAsia="仿宋_GB2312" w:cs="仿宋_GB2312"/>
                <w:sz w:val="24"/>
              </w:rPr>
              <w:t>高质量研究报告</w:t>
            </w:r>
            <w:r>
              <w:rPr>
                <w:rFonts w:hint="eastAsia" w:ascii="仿宋_GB2312" w:hAnsi="宋体" w:eastAsia="仿宋_GB2312" w:cs="宋体"/>
                <w:color w:val="000000"/>
                <w:kern w:val="0"/>
                <w:sz w:val="24"/>
                <w:lang w:bidi="ar"/>
              </w:rPr>
              <w:t>或高水平咨政报告</w:t>
            </w:r>
          </w:p>
        </w:tc>
      </w:tr>
      <w:tr>
        <w:tblPrEx>
          <w:tblCellMar>
            <w:top w:w="0" w:type="dxa"/>
            <w:left w:w="108" w:type="dxa"/>
            <w:bottom w:w="0" w:type="dxa"/>
            <w:right w:w="108" w:type="dxa"/>
          </w:tblCellMar>
        </w:tblPrEx>
        <w:trPr>
          <w:trHeight w:val="544" w:hRule="atLeast"/>
        </w:trPr>
        <w:tc>
          <w:tcPr>
            <w:tcW w:w="288" w:type="pct"/>
            <w:vMerge w:val="continue"/>
            <w:tcBorders>
              <w:left w:val="single" w:color="auto" w:sz="4" w:space="0"/>
              <w:bottom w:val="single" w:color="auto" w:sz="4" w:space="0"/>
              <w:right w:val="single" w:color="000000" w:sz="4" w:space="0"/>
            </w:tcBorders>
            <w:shd w:val="clear" w:color="auto" w:fill="auto"/>
            <w:noWrap/>
            <w:vAlign w:val="center"/>
          </w:tcPr>
          <w:p>
            <w:pPr>
              <w:snapToGrid w:val="0"/>
              <w:jc w:val="center"/>
              <w:rPr>
                <w:rFonts w:hint="eastAsia" w:ascii="仿宋_GB2312" w:hAnsi="宋体" w:eastAsia="仿宋_GB2312" w:cs="宋体"/>
                <w:color w:val="000000"/>
                <w:kern w:val="0"/>
                <w:sz w:val="24"/>
                <w:lang w:bidi="ar"/>
              </w:rPr>
            </w:pPr>
          </w:p>
        </w:tc>
        <w:tc>
          <w:tcPr>
            <w:tcW w:w="771" w:type="pct"/>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napToGrid w:val="0"/>
              <w:jc w:val="left"/>
              <w:textAlignment w:val="center"/>
              <w:rPr>
                <w:rFonts w:hint="eastAsia" w:ascii="仿宋_GB2312" w:hAnsi="宋体" w:eastAsia="仿宋_GB2312" w:cs="宋体"/>
                <w:color w:val="000000"/>
                <w:kern w:val="0"/>
                <w:sz w:val="24"/>
                <w:lang w:bidi="ar"/>
              </w:rPr>
            </w:pPr>
            <w:r>
              <w:rPr>
                <w:rFonts w:hint="eastAsia" w:ascii="仿宋_GB2312" w:hAnsi="宋体" w:eastAsia="仿宋_GB2312" w:cs="宋体"/>
                <w:color w:val="000000"/>
                <w:kern w:val="0"/>
                <w:sz w:val="24"/>
                <w:lang w:val="en-US" w:eastAsia="zh-CN" w:bidi="ar"/>
              </w:rPr>
              <w:t>建德生产性服务业发展研究</w:t>
            </w:r>
          </w:p>
        </w:tc>
        <w:tc>
          <w:tcPr>
            <w:tcW w:w="3379"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napToGrid w:val="0"/>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szCs w:val="24"/>
                <w:vertAlign w:val="baseline"/>
                <w:lang w:val="en-US" w:eastAsia="zh-CN"/>
              </w:rPr>
              <w:t>生产性服务业是世界经济增长最快的行业，其发展规模日益壮大、与制造业的关系日趋紧密、呈现网络化、外包化的趋势，也逐渐形成完整的产业链。近年来，各地高度重视生产性服务的培育和发展，成为城市产业发展的重要门类，通过推进制造业的主辅分离、发展互联网经济和文化产业等方式，加快发展生产性服务业。建德产业特色鲜明，</w:t>
            </w:r>
            <w:r>
              <w:rPr>
                <w:rFonts w:hint="default" w:ascii="仿宋_GB2312" w:hAnsi="仿宋_GB2312" w:eastAsia="仿宋_GB2312" w:cs="仿宋_GB2312"/>
                <w:sz w:val="24"/>
                <w:szCs w:val="24"/>
                <w:vertAlign w:val="baseline"/>
                <w:lang w:val="en-US" w:eastAsia="zh-CN"/>
              </w:rPr>
              <w:t>采矿业、制造业、电力热力燃气及水生产和供应业</w:t>
            </w:r>
            <w:r>
              <w:rPr>
                <w:rFonts w:hint="eastAsia" w:ascii="仿宋_GB2312" w:hAnsi="仿宋_GB2312" w:eastAsia="仿宋_GB2312" w:cs="仿宋_GB2312"/>
                <w:sz w:val="24"/>
                <w:szCs w:val="24"/>
                <w:vertAlign w:val="baseline"/>
                <w:lang w:val="en-US" w:eastAsia="zh-CN"/>
              </w:rPr>
              <w:t>等相关产业竞争力强，是发展生产性服务业的产业基础，但也存在着产业规模小、产业门类单一（主要以为化工、采矿、水产业等配套的物流业为主）等问题。随着建德产业转型的深化、打造产城融合平台发展城市产业的需求，加快生产性服务发展是建德经济社会发展中的重大课题。</w:t>
            </w:r>
          </w:p>
        </w:tc>
        <w:tc>
          <w:tcPr>
            <w:tcW w:w="560"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widowControl/>
              <w:snapToGrid w:val="0"/>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高质量研究报告</w:t>
            </w:r>
            <w:r>
              <w:rPr>
                <w:rFonts w:hint="eastAsia" w:ascii="仿宋_GB2312" w:hAnsi="宋体" w:eastAsia="仿宋_GB2312" w:cs="宋体"/>
                <w:color w:val="000000"/>
                <w:kern w:val="0"/>
                <w:sz w:val="24"/>
                <w:lang w:bidi="ar"/>
              </w:rPr>
              <w:t>或高水平咨政报告</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pgSz w:w="16838" w:h="11906" w:orient="landscape"/>
      <w:pgMar w:top="567" w:right="850" w:bottom="567"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27D46CCE"/>
    <w:rsid w:val="00025787"/>
    <w:rsid w:val="004C2F8E"/>
    <w:rsid w:val="005333FB"/>
    <w:rsid w:val="0096557D"/>
    <w:rsid w:val="02CD0EBD"/>
    <w:rsid w:val="034B6C76"/>
    <w:rsid w:val="0ED308B1"/>
    <w:rsid w:val="1BFF358A"/>
    <w:rsid w:val="27D46CCE"/>
    <w:rsid w:val="2AF27EBA"/>
    <w:rsid w:val="2C8D08A6"/>
    <w:rsid w:val="35987525"/>
    <w:rsid w:val="3CD341C0"/>
    <w:rsid w:val="3EBF2305"/>
    <w:rsid w:val="3F3768F7"/>
    <w:rsid w:val="40556AC9"/>
    <w:rsid w:val="48672BCE"/>
    <w:rsid w:val="5A447070"/>
    <w:rsid w:val="5DB669A1"/>
    <w:rsid w:val="631D292B"/>
    <w:rsid w:val="6E2216FD"/>
    <w:rsid w:val="71B61B1C"/>
    <w:rsid w:val="75BA0448"/>
    <w:rsid w:val="7A06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
    <w:name w:val="首行缩进"/>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杭州市政府</Company>
  <Pages>3</Pages>
  <Words>521</Words>
  <Characters>2975</Characters>
  <Lines>24</Lines>
  <Paragraphs>6</Paragraphs>
  <TotalTime>3</TotalTime>
  <ScaleCrop>false</ScaleCrop>
  <LinksUpToDate>false</LinksUpToDate>
  <CharactersWithSpaces>3490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2024-07-05T10:01:00Z</dcterms:created>
  <dc:creator>刘荣</dc:creator>
  <cp:lastModifiedBy>刘荣</cp:lastModifiedBy>
  <dcterms:modified xsi:type="dcterms:W3CDTF">2024-07-16T08:02:35Z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813EEC41E863490A88DF26FB7CC868F4_13</vt:lpwstr>
  </property>
</Properties>
</file>