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75C9" w:rsidRPr="00406653" w:rsidRDefault="001A75C9" w:rsidP="001A75C9">
      <w:pPr>
        <w:pStyle w:val="BodyText1I2"/>
        <w:adjustRightInd w:val="0"/>
        <w:snapToGrid w:val="0"/>
        <w:spacing w:after="0" w:line="360" w:lineRule="auto"/>
        <w:ind w:leftChars="0" w:left="0" w:firstLine="0"/>
        <w:rPr>
          <w:rFonts w:cs="SimHei" w:hint="eastAsia"/>
          <w:sz w:val="24"/>
          <w:szCs w:val="24"/>
        </w:rPr>
      </w:pPr>
      <w:r w:rsidRPr="00406653">
        <w:rPr>
          <w:rFonts w:cs="SimHei" w:hint="eastAsia"/>
          <w:sz w:val="24"/>
          <w:szCs w:val="24"/>
        </w:rPr>
        <w:t>附件1</w:t>
      </w:r>
    </w:p>
    <w:p w:rsidR="001A75C9" w:rsidRPr="00406653" w:rsidRDefault="001A75C9" w:rsidP="001A75C9">
      <w:pPr>
        <w:pStyle w:val="BodyText1I2"/>
        <w:adjustRightInd w:val="0"/>
        <w:snapToGrid w:val="0"/>
        <w:spacing w:after="0" w:line="360" w:lineRule="auto"/>
        <w:ind w:leftChars="0" w:left="0" w:firstLineChars="200" w:firstLine="480"/>
        <w:rPr>
          <w:rFonts w:cs="仿宋_GB2312" w:hint="eastAsia"/>
          <w:sz w:val="24"/>
          <w:szCs w:val="24"/>
        </w:rPr>
      </w:pPr>
    </w:p>
    <w:p w:rsidR="001A75C9" w:rsidRPr="00406653" w:rsidRDefault="001A75C9" w:rsidP="001A75C9">
      <w:pPr>
        <w:pStyle w:val="BodyText1I2"/>
        <w:adjustRightInd w:val="0"/>
        <w:snapToGrid w:val="0"/>
        <w:spacing w:after="0" w:line="360" w:lineRule="auto"/>
        <w:ind w:leftChars="0" w:left="0" w:firstLine="0"/>
        <w:jc w:val="center"/>
        <w:rPr>
          <w:rFonts w:cs="方正书宋简体" w:hint="eastAsia"/>
          <w:sz w:val="24"/>
          <w:szCs w:val="24"/>
        </w:rPr>
      </w:pPr>
      <w:r w:rsidRPr="00406653">
        <w:rPr>
          <w:rFonts w:cs="方正书宋简体" w:hint="eastAsia"/>
          <w:sz w:val="24"/>
          <w:szCs w:val="24"/>
        </w:rPr>
        <w:t>杭州亚运重点调研课题指南</w:t>
      </w:r>
    </w:p>
    <w:p w:rsidR="001A75C9" w:rsidRPr="00406653" w:rsidRDefault="001A75C9" w:rsidP="001A75C9">
      <w:pPr>
        <w:pStyle w:val="BodyText1I2"/>
        <w:adjustRightInd w:val="0"/>
        <w:snapToGrid w:val="0"/>
        <w:spacing w:after="0" w:line="360" w:lineRule="auto"/>
        <w:ind w:leftChars="0" w:left="0" w:firstLine="0"/>
        <w:jc w:val="center"/>
        <w:rPr>
          <w:rFonts w:cs="楷体_GB2312" w:hint="eastAsia"/>
          <w:sz w:val="24"/>
          <w:szCs w:val="24"/>
        </w:rPr>
      </w:pPr>
      <w:r w:rsidRPr="00406653">
        <w:rPr>
          <w:rFonts w:cs="楷体_GB2312" w:hint="eastAsia"/>
          <w:sz w:val="24"/>
          <w:szCs w:val="24"/>
        </w:rPr>
        <w:t>（第一批）</w:t>
      </w:r>
    </w:p>
    <w:p w:rsidR="001A75C9" w:rsidRPr="00406653" w:rsidRDefault="001A75C9" w:rsidP="001A75C9">
      <w:pPr>
        <w:pStyle w:val="BodyText1I2"/>
        <w:adjustRightInd w:val="0"/>
        <w:snapToGrid w:val="0"/>
        <w:spacing w:after="0" w:line="360" w:lineRule="auto"/>
        <w:ind w:leftChars="0" w:left="0" w:firstLineChars="200" w:firstLine="480"/>
        <w:rPr>
          <w:rFonts w:cs="仿宋_GB2312" w:hint="eastAsia"/>
          <w:sz w:val="24"/>
          <w:szCs w:val="24"/>
        </w:rPr>
      </w:pPr>
    </w:p>
    <w:p w:rsidR="001A75C9" w:rsidRPr="00406653" w:rsidRDefault="001A75C9" w:rsidP="001A75C9">
      <w:pPr>
        <w:pStyle w:val="BodyText1I2"/>
        <w:adjustRightInd w:val="0"/>
        <w:snapToGrid w:val="0"/>
        <w:spacing w:after="0" w:line="360" w:lineRule="auto"/>
        <w:ind w:leftChars="0" w:left="0" w:firstLineChars="200" w:firstLine="480"/>
        <w:rPr>
          <w:rFonts w:cs="仿宋_GB2312" w:hint="eastAsia"/>
          <w:sz w:val="24"/>
          <w:szCs w:val="24"/>
        </w:rPr>
      </w:pPr>
      <w:r w:rsidRPr="00406653">
        <w:rPr>
          <w:rFonts w:cs="仿宋_GB2312" w:hint="eastAsia"/>
          <w:sz w:val="24"/>
          <w:szCs w:val="24"/>
        </w:rPr>
        <w:t>1.以数字化改革为牵引，持续放大杭州亚运综合效应体制机制研究。</w:t>
      </w:r>
    </w:p>
    <w:p w:rsidR="001A75C9" w:rsidRPr="00406653" w:rsidRDefault="001A75C9" w:rsidP="001A75C9">
      <w:pPr>
        <w:pStyle w:val="BodyText1I2"/>
        <w:adjustRightInd w:val="0"/>
        <w:snapToGrid w:val="0"/>
        <w:spacing w:after="0" w:line="360" w:lineRule="auto"/>
        <w:ind w:leftChars="0" w:left="0" w:firstLineChars="200" w:firstLine="480"/>
        <w:rPr>
          <w:rFonts w:cs="仿宋_GB2312" w:hint="eastAsia"/>
          <w:sz w:val="24"/>
          <w:szCs w:val="24"/>
        </w:rPr>
      </w:pPr>
      <w:r w:rsidRPr="00406653">
        <w:rPr>
          <w:rFonts w:cs="仿宋_GB2312" w:hint="eastAsia"/>
          <w:sz w:val="24"/>
          <w:szCs w:val="24"/>
        </w:rPr>
        <w:t>2.以杭州亚运会引领推进高水平建设体育强市、赛事之城路径研究。</w:t>
      </w:r>
    </w:p>
    <w:p w:rsidR="001A75C9" w:rsidRPr="00406653" w:rsidRDefault="001A75C9" w:rsidP="001A75C9">
      <w:pPr>
        <w:pStyle w:val="BodyText1I2"/>
        <w:adjustRightInd w:val="0"/>
        <w:snapToGrid w:val="0"/>
        <w:spacing w:after="0" w:line="360" w:lineRule="auto"/>
        <w:ind w:leftChars="0" w:left="0" w:firstLineChars="200" w:firstLine="480"/>
        <w:rPr>
          <w:rFonts w:cs="仿宋_GB2312" w:hint="eastAsia"/>
          <w:sz w:val="24"/>
          <w:szCs w:val="24"/>
        </w:rPr>
      </w:pPr>
      <w:r w:rsidRPr="00406653">
        <w:rPr>
          <w:rFonts w:cs="仿宋_GB2312" w:hint="eastAsia"/>
          <w:sz w:val="24"/>
          <w:szCs w:val="24"/>
        </w:rPr>
        <w:t>3.以总任务书为总抓手，形成环环相扣、梯次推进执行落实机制研究。</w:t>
      </w:r>
    </w:p>
    <w:p w:rsidR="001A75C9" w:rsidRPr="00406653" w:rsidRDefault="001A75C9" w:rsidP="001A75C9">
      <w:pPr>
        <w:pStyle w:val="BodyText1I2"/>
        <w:adjustRightInd w:val="0"/>
        <w:snapToGrid w:val="0"/>
        <w:spacing w:after="0" w:line="360" w:lineRule="auto"/>
        <w:ind w:leftChars="0" w:left="0" w:firstLineChars="200" w:firstLine="480"/>
        <w:rPr>
          <w:rFonts w:cs="仿宋_GB2312" w:hint="eastAsia"/>
          <w:sz w:val="24"/>
          <w:szCs w:val="24"/>
        </w:rPr>
      </w:pPr>
      <w:r w:rsidRPr="00406653">
        <w:rPr>
          <w:rFonts w:cs="仿宋_GB2312" w:hint="eastAsia"/>
          <w:sz w:val="24"/>
          <w:szCs w:val="24"/>
        </w:rPr>
        <w:t>4.建立健全上下贯通、横向联动工作机制，优化亚</w:t>
      </w:r>
      <w:proofErr w:type="gramStart"/>
      <w:r w:rsidRPr="00406653">
        <w:rPr>
          <w:rFonts w:cs="仿宋_GB2312" w:hint="eastAsia"/>
          <w:sz w:val="24"/>
          <w:szCs w:val="24"/>
        </w:rPr>
        <w:t>运筹办</w:t>
      </w:r>
      <w:proofErr w:type="gramEnd"/>
      <w:r w:rsidRPr="00406653">
        <w:rPr>
          <w:rFonts w:cs="仿宋_GB2312" w:hint="eastAsia"/>
          <w:sz w:val="24"/>
          <w:szCs w:val="24"/>
        </w:rPr>
        <w:t>组织运转和考核评价体系，推动亚</w:t>
      </w:r>
      <w:proofErr w:type="gramStart"/>
      <w:r w:rsidRPr="00406653">
        <w:rPr>
          <w:rFonts w:cs="仿宋_GB2312" w:hint="eastAsia"/>
          <w:sz w:val="24"/>
          <w:szCs w:val="24"/>
        </w:rPr>
        <w:t>运筹办</w:t>
      </w:r>
      <w:proofErr w:type="gramEnd"/>
      <w:r w:rsidRPr="00406653">
        <w:rPr>
          <w:rFonts w:cs="仿宋_GB2312" w:hint="eastAsia"/>
          <w:sz w:val="24"/>
          <w:szCs w:val="24"/>
        </w:rPr>
        <w:t>更扎实、更精细研究。</w:t>
      </w:r>
    </w:p>
    <w:p w:rsidR="001A75C9" w:rsidRPr="00406653" w:rsidRDefault="001A75C9" w:rsidP="001A75C9">
      <w:pPr>
        <w:pStyle w:val="BodyText1I2"/>
        <w:adjustRightInd w:val="0"/>
        <w:snapToGrid w:val="0"/>
        <w:spacing w:after="0" w:line="360" w:lineRule="auto"/>
        <w:ind w:leftChars="0" w:left="0" w:firstLineChars="200" w:firstLine="480"/>
        <w:rPr>
          <w:rFonts w:cs="仿宋_GB2312" w:hint="eastAsia"/>
          <w:sz w:val="24"/>
          <w:szCs w:val="24"/>
        </w:rPr>
      </w:pPr>
      <w:r w:rsidRPr="00406653">
        <w:rPr>
          <w:rFonts w:cs="仿宋_GB2312" w:hint="eastAsia"/>
          <w:sz w:val="24"/>
          <w:szCs w:val="24"/>
        </w:rPr>
        <w:t>5.杭州打造“绿色亚运”理论基础和</w:t>
      </w:r>
      <w:bookmarkStart w:id="0" w:name="_GoBack"/>
      <w:bookmarkEnd w:id="0"/>
      <w:r w:rsidRPr="00406653">
        <w:rPr>
          <w:rFonts w:cs="仿宋_GB2312" w:hint="eastAsia"/>
          <w:sz w:val="24"/>
          <w:szCs w:val="24"/>
        </w:rPr>
        <w:t>实践路径研究。</w:t>
      </w:r>
    </w:p>
    <w:p w:rsidR="001A75C9" w:rsidRPr="00406653" w:rsidRDefault="001A75C9" w:rsidP="001A75C9">
      <w:pPr>
        <w:pStyle w:val="BodyText1I2"/>
        <w:adjustRightInd w:val="0"/>
        <w:snapToGrid w:val="0"/>
        <w:spacing w:after="0" w:line="360" w:lineRule="auto"/>
        <w:ind w:leftChars="0" w:left="0" w:firstLineChars="200" w:firstLine="480"/>
        <w:rPr>
          <w:rFonts w:cs="仿宋_GB2312" w:hint="eastAsia"/>
          <w:sz w:val="24"/>
          <w:szCs w:val="24"/>
        </w:rPr>
      </w:pPr>
      <w:r w:rsidRPr="00406653">
        <w:rPr>
          <w:rFonts w:cs="仿宋_GB2312" w:hint="eastAsia"/>
          <w:sz w:val="24"/>
          <w:szCs w:val="24"/>
        </w:rPr>
        <w:t>6.以美丽杭州迎亚运“城市行动”，全方位提升城市环境品质研究。</w:t>
      </w:r>
    </w:p>
    <w:p w:rsidR="001A75C9" w:rsidRPr="00406653" w:rsidRDefault="001A75C9" w:rsidP="001A75C9">
      <w:pPr>
        <w:pStyle w:val="BodyText1I2"/>
        <w:adjustRightInd w:val="0"/>
        <w:snapToGrid w:val="0"/>
        <w:spacing w:after="0" w:line="360" w:lineRule="auto"/>
        <w:ind w:leftChars="0" w:left="0" w:firstLineChars="200" w:firstLine="480"/>
        <w:rPr>
          <w:rFonts w:cs="仿宋_GB2312" w:hint="eastAsia"/>
          <w:sz w:val="24"/>
          <w:szCs w:val="24"/>
        </w:rPr>
      </w:pPr>
      <w:r w:rsidRPr="00406653">
        <w:rPr>
          <w:rFonts w:cs="仿宋_GB2312" w:hint="eastAsia"/>
          <w:sz w:val="24"/>
          <w:szCs w:val="24"/>
        </w:rPr>
        <w:t>7.以“亚运在线”为抓手，深化重大赛事活动指挥服务保障体制机制集成改革研究。</w:t>
      </w:r>
    </w:p>
    <w:p w:rsidR="001A75C9" w:rsidRPr="00406653" w:rsidRDefault="001A75C9" w:rsidP="001A75C9">
      <w:pPr>
        <w:pStyle w:val="BodyText1I2"/>
        <w:adjustRightInd w:val="0"/>
        <w:snapToGrid w:val="0"/>
        <w:spacing w:after="0" w:line="360" w:lineRule="auto"/>
        <w:ind w:leftChars="0" w:left="0" w:firstLineChars="200" w:firstLine="480"/>
        <w:rPr>
          <w:rFonts w:cs="仿宋_GB2312" w:hint="eastAsia"/>
          <w:sz w:val="24"/>
          <w:szCs w:val="24"/>
        </w:rPr>
      </w:pPr>
      <w:r w:rsidRPr="00406653">
        <w:rPr>
          <w:rFonts w:cs="仿宋_GB2312" w:hint="eastAsia"/>
          <w:sz w:val="24"/>
          <w:szCs w:val="24"/>
        </w:rPr>
        <w:t>8.传承弘扬宋韵文化，打造具有杭州辨识度的“城市体验”路径研究。</w:t>
      </w:r>
    </w:p>
    <w:p w:rsidR="001A75C9" w:rsidRPr="00406653" w:rsidRDefault="001A75C9" w:rsidP="001A75C9">
      <w:pPr>
        <w:pStyle w:val="BodyText1I2"/>
        <w:adjustRightInd w:val="0"/>
        <w:snapToGrid w:val="0"/>
        <w:spacing w:after="0" w:line="360" w:lineRule="auto"/>
        <w:ind w:leftChars="0" w:left="0" w:firstLineChars="200" w:firstLine="480"/>
        <w:rPr>
          <w:rFonts w:cs="仿宋_GB2312" w:hint="eastAsia"/>
          <w:sz w:val="24"/>
          <w:szCs w:val="24"/>
        </w:rPr>
      </w:pPr>
      <w:r w:rsidRPr="00406653">
        <w:rPr>
          <w:rFonts w:cs="仿宋_GB2312" w:hint="eastAsia"/>
          <w:sz w:val="24"/>
          <w:szCs w:val="24"/>
        </w:rPr>
        <w:t>9.以“亚运场馆在线”为指引，全面实施“场馆惠民开放”研究。</w:t>
      </w:r>
    </w:p>
    <w:p w:rsidR="001A75C9" w:rsidRPr="00406653" w:rsidRDefault="001A75C9" w:rsidP="001A75C9">
      <w:pPr>
        <w:pStyle w:val="BodyText1I2"/>
        <w:adjustRightInd w:val="0"/>
        <w:snapToGrid w:val="0"/>
        <w:spacing w:after="0" w:line="360" w:lineRule="auto"/>
        <w:ind w:leftChars="0" w:left="0" w:firstLineChars="200" w:firstLine="480"/>
        <w:rPr>
          <w:rFonts w:cs="仿宋_GB2312" w:hint="eastAsia"/>
          <w:sz w:val="24"/>
          <w:szCs w:val="24"/>
        </w:rPr>
      </w:pPr>
      <w:r w:rsidRPr="00406653">
        <w:rPr>
          <w:rFonts w:cs="仿宋_GB2312" w:hint="eastAsia"/>
          <w:sz w:val="24"/>
          <w:szCs w:val="24"/>
        </w:rPr>
        <w:t>10.围绕打造“礼让名城”“志愿善城”品牌，全面推进“文明提升”研究。</w:t>
      </w:r>
    </w:p>
    <w:p w:rsidR="001A75C9" w:rsidRPr="00406653" w:rsidRDefault="001A75C9" w:rsidP="001A75C9">
      <w:pPr>
        <w:pStyle w:val="BodyText1I2"/>
        <w:adjustRightInd w:val="0"/>
        <w:snapToGrid w:val="0"/>
        <w:spacing w:after="0" w:line="360" w:lineRule="auto"/>
        <w:ind w:leftChars="0" w:left="0" w:firstLineChars="200" w:firstLine="480"/>
        <w:rPr>
          <w:rFonts w:cs="仿宋_GB2312" w:hint="eastAsia"/>
          <w:sz w:val="24"/>
          <w:szCs w:val="24"/>
        </w:rPr>
      </w:pPr>
      <w:r w:rsidRPr="00406653">
        <w:rPr>
          <w:rFonts w:cs="仿宋_GB2312" w:hint="eastAsia"/>
          <w:sz w:val="24"/>
          <w:szCs w:val="24"/>
        </w:rPr>
        <w:t>11.高水平打造“智能亚运”，提供国际化、数字化赛事组织和运行体系研究。</w:t>
      </w:r>
    </w:p>
    <w:p w:rsidR="001A75C9" w:rsidRPr="00406653" w:rsidRDefault="001A75C9" w:rsidP="001A75C9">
      <w:pPr>
        <w:pStyle w:val="BodyText1I2"/>
        <w:adjustRightInd w:val="0"/>
        <w:snapToGrid w:val="0"/>
        <w:spacing w:after="0" w:line="360" w:lineRule="auto"/>
        <w:ind w:leftChars="0" w:left="0" w:firstLineChars="200" w:firstLine="480"/>
        <w:rPr>
          <w:rFonts w:cs="仿宋_GB2312" w:hint="eastAsia"/>
          <w:sz w:val="24"/>
          <w:szCs w:val="24"/>
        </w:rPr>
      </w:pPr>
      <w:r w:rsidRPr="00406653">
        <w:rPr>
          <w:rFonts w:cs="仿宋_GB2312" w:hint="eastAsia"/>
          <w:sz w:val="24"/>
          <w:szCs w:val="24"/>
        </w:rPr>
        <w:t>12.以办好亚运盛会为牵引，推进市</w:t>
      </w:r>
      <w:proofErr w:type="gramStart"/>
      <w:r w:rsidRPr="00406653">
        <w:rPr>
          <w:rFonts w:cs="仿宋_GB2312" w:hint="eastAsia"/>
          <w:sz w:val="24"/>
          <w:szCs w:val="24"/>
        </w:rPr>
        <w:t>域社会</w:t>
      </w:r>
      <w:proofErr w:type="gramEnd"/>
      <w:r w:rsidRPr="00406653">
        <w:rPr>
          <w:rFonts w:cs="仿宋_GB2312" w:hint="eastAsia"/>
          <w:sz w:val="24"/>
          <w:szCs w:val="24"/>
        </w:rPr>
        <w:t>治理现代化路径研究。</w:t>
      </w:r>
    </w:p>
    <w:p w:rsidR="001A75C9" w:rsidRPr="00406653" w:rsidRDefault="001A75C9" w:rsidP="001A75C9">
      <w:pPr>
        <w:pStyle w:val="BodyText1I2"/>
        <w:adjustRightInd w:val="0"/>
        <w:snapToGrid w:val="0"/>
        <w:spacing w:after="0" w:line="360" w:lineRule="auto"/>
        <w:ind w:leftChars="0" w:left="0" w:firstLineChars="200" w:firstLine="480"/>
        <w:rPr>
          <w:rFonts w:cs="仿宋_GB2312" w:hint="eastAsia"/>
          <w:sz w:val="24"/>
          <w:szCs w:val="24"/>
        </w:rPr>
      </w:pPr>
      <w:r w:rsidRPr="00406653">
        <w:rPr>
          <w:rFonts w:cs="仿宋_GB2312" w:hint="eastAsia"/>
          <w:sz w:val="24"/>
          <w:szCs w:val="24"/>
        </w:rPr>
        <w:t>13.实施“工完场清”标准，提升工程建设项目规范化管理研究。</w:t>
      </w:r>
    </w:p>
    <w:p w:rsidR="001A75C9" w:rsidRPr="00406653" w:rsidRDefault="001A75C9" w:rsidP="001A75C9">
      <w:pPr>
        <w:pStyle w:val="BodyText1I2"/>
        <w:adjustRightInd w:val="0"/>
        <w:snapToGrid w:val="0"/>
        <w:spacing w:after="0" w:line="360" w:lineRule="auto"/>
        <w:ind w:leftChars="0" w:left="0" w:firstLineChars="200" w:firstLine="480"/>
        <w:rPr>
          <w:rFonts w:cs="仿宋_GB2312" w:hint="eastAsia"/>
          <w:sz w:val="24"/>
          <w:szCs w:val="24"/>
        </w:rPr>
      </w:pPr>
      <w:r w:rsidRPr="00406653">
        <w:rPr>
          <w:rFonts w:cs="仿宋_GB2312" w:hint="eastAsia"/>
          <w:sz w:val="24"/>
          <w:szCs w:val="24"/>
        </w:rPr>
        <w:t>14.把握重大时间节点，科学有序建立园林绿化城市景观提升长效管理机制研究。</w:t>
      </w:r>
    </w:p>
    <w:p w:rsidR="001A75C9" w:rsidRPr="00406653" w:rsidRDefault="001A75C9" w:rsidP="001A75C9">
      <w:pPr>
        <w:pStyle w:val="BodyText1I2"/>
        <w:adjustRightInd w:val="0"/>
        <w:snapToGrid w:val="0"/>
        <w:spacing w:after="0" w:line="360" w:lineRule="auto"/>
        <w:ind w:leftChars="0" w:left="0" w:firstLineChars="200" w:firstLine="480"/>
        <w:rPr>
          <w:rFonts w:cs="仿宋_GB2312" w:hint="eastAsia"/>
          <w:sz w:val="24"/>
          <w:szCs w:val="24"/>
        </w:rPr>
      </w:pPr>
      <w:r w:rsidRPr="00406653">
        <w:rPr>
          <w:rFonts w:cs="仿宋_GB2312" w:hint="eastAsia"/>
          <w:sz w:val="24"/>
          <w:szCs w:val="24"/>
        </w:rPr>
        <w:t>15.聚焦群众身边关键小事和民生实事，高质量开展“扮靓家园”“社区告示牌整治”“病媒生物防制”等活动，持续提升群众幸福感获得感研究。</w:t>
      </w:r>
    </w:p>
    <w:p w:rsidR="001A75C9" w:rsidRPr="00406653" w:rsidRDefault="001A75C9" w:rsidP="001A75C9">
      <w:pPr>
        <w:pStyle w:val="BodyText1I2"/>
        <w:adjustRightInd w:val="0"/>
        <w:snapToGrid w:val="0"/>
        <w:spacing w:after="0" w:line="360" w:lineRule="auto"/>
        <w:ind w:leftChars="0" w:left="0" w:firstLineChars="200" w:firstLine="480"/>
        <w:rPr>
          <w:rFonts w:cs="仿宋_GB2312" w:hint="eastAsia"/>
          <w:sz w:val="24"/>
          <w:szCs w:val="24"/>
        </w:rPr>
      </w:pPr>
      <w:r w:rsidRPr="00406653">
        <w:rPr>
          <w:rFonts w:cs="仿宋_GB2312" w:hint="eastAsia"/>
          <w:sz w:val="24"/>
          <w:szCs w:val="24"/>
        </w:rPr>
        <w:t>16.利用场馆综合利用和惠民开放，加快建设嵌入式体育公园，充分激发全民健身热情，提高全民体育运动水平研究。</w:t>
      </w:r>
    </w:p>
    <w:p w:rsidR="001A75C9" w:rsidRPr="00406653" w:rsidRDefault="001A75C9" w:rsidP="001A75C9">
      <w:pPr>
        <w:pStyle w:val="BodyText1I2"/>
        <w:adjustRightInd w:val="0"/>
        <w:snapToGrid w:val="0"/>
        <w:spacing w:after="0" w:line="360" w:lineRule="auto"/>
        <w:ind w:leftChars="0" w:left="0" w:firstLineChars="200" w:firstLine="480"/>
        <w:rPr>
          <w:rFonts w:cs="仿宋_GB2312" w:hint="eastAsia"/>
          <w:sz w:val="24"/>
          <w:szCs w:val="24"/>
        </w:rPr>
      </w:pPr>
      <w:r w:rsidRPr="00406653">
        <w:rPr>
          <w:rFonts w:cs="仿宋_GB2312" w:hint="eastAsia"/>
          <w:sz w:val="24"/>
          <w:szCs w:val="24"/>
        </w:rPr>
        <w:t>17.健全无障碍服务保障体系，提升无障碍服务水平研究。</w:t>
      </w:r>
    </w:p>
    <w:p w:rsidR="001A75C9" w:rsidRPr="00406653" w:rsidRDefault="001A75C9" w:rsidP="001A75C9">
      <w:pPr>
        <w:pStyle w:val="BodyText1I2"/>
        <w:adjustRightInd w:val="0"/>
        <w:snapToGrid w:val="0"/>
        <w:spacing w:after="0" w:line="360" w:lineRule="auto"/>
        <w:ind w:leftChars="0" w:left="0" w:firstLineChars="200" w:firstLine="480"/>
        <w:rPr>
          <w:rFonts w:cs="仿宋_GB2312" w:hint="eastAsia"/>
          <w:sz w:val="24"/>
          <w:szCs w:val="24"/>
        </w:rPr>
      </w:pPr>
      <w:r w:rsidRPr="00406653">
        <w:rPr>
          <w:rFonts w:cs="仿宋_GB2312" w:hint="eastAsia"/>
          <w:sz w:val="24"/>
          <w:szCs w:val="24"/>
        </w:rPr>
        <w:t>18.打造全景式、立体式宣传体系，深化国际传播能力，持续营造全民亚运氛围研究。</w:t>
      </w:r>
    </w:p>
    <w:p w:rsidR="001A75C9" w:rsidRPr="00406653" w:rsidRDefault="001A75C9" w:rsidP="001A75C9">
      <w:pPr>
        <w:pStyle w:val="BodyText1I2"/>
        <w:adjustRightInd w:val="0"/>
        <w:snapToGrid w:val="0"/>
        <w:spacing w:after="0" w:line="360" w:lineRule="auto"/>
        <w:ind w:leftChars="0" w:left="0" w:firstLineChars="200" w:firstLine="480"/>
        <w:rPr>
          <w:rFonts w:cs="仿宋_GB2312" w:hint="eastAsia"/>
          <w:sz w:val="24"/>
          <w:szCs w:val="24"/>
        </w:rPr>
      </w:pPr>
      <w:r w:rsidRPr="00406653">
        <w:rPr>
          <w:rFonts w:cs="仿宋_GB2312" w:hint="eastAsia"/>
          <w:sz w:val="24"/>
          <w:szCs w:val="24"/>
        </w:rPr>
        <w:t>19.科学把握大型赛事组织运行规律，有效处置亚运延期各类风险隐患，实</w:t>
      </w:r>
      <w:r w:rsidRPr="00406653">
        <w:rPr>
          <w:rFonts w:cs="仿宋_GB2312" w:hint="eastAsia"/>
          <w:sz w:val="24"/>
          <w:szCs w:val="24"/>
        </w:rPr>
        <w:lastRenderedPageBreak/>
        <w:t>现亚</w:t>
      </w:r>
      <w:proofErr w:type="gramStart"/>
      <w:r w:rsidRPr="00406653">
        <w:rPr>
          <w:rFonts w:cs="仿宋_GB2312" w:hint="eastAsia"/>
          <w:sz w:val="24"/>
          <w:szCs w:val="24"/>
        </w:rPr>
        <w:t>运筹办</w:t>
      </w:r>
      <w:proofErr w:type="gramEnd"/>
      <w:r w:rsidRPr="00406653">
        <w:rPr>
          <w:rFonts w:cs="仿宋_GB2312" w:hint="eastAsia"/>
          <w:sz w:val="24"/>
          <w:szCs w:val="24"/>
        </w:rPr>
        <w:t>平稳过渡研究。</w:t>
      </w:r>
    </w:p>
    <w:p w:rsidR="001F0054" w:rsidRDefault="001A75C9" w:rsidP="001A75C9">
      <w:pPr>
        <w:pStyle w:val="BodyText1I2"/>
        <w:adjustRightInd w:val="0"/>
        <w:snapToGrid w:val="0"/>
        <w:spacing w:after="0" w:line="360" w:lineRule="auto"/>
        <w:ind w:leftChars="0" w:left="0" w:firstLineChars="200" w:firstLine="480"/>
        <w:rPr>
          <w:rFonts w:cs="仿宋_GB2312"/>
          <w:sz w:val="24"/>
          <w:szCs w:val="24"/>
        </w:rPr>
      </w:pPr>
      <w:r w:rsidRPr="00406653">
        <w:rPr>
          <w:rFonts w:cs="仿宋_GB2312" w:hint="eastAsia"/>
          <w:sz w:val="24"/>
          <w:szCs w:val="24"/>
        </w:rPr>
        <w:t>20.新时代发挥党建引领作用，形成把党支部建在重大任务攻坚一线的战斗动员和组织推进机制研究。</w:t>
      </w:r>
    </w:p>
    <w:p w:rsidR="001A75C9" w:rsidRPr="001A75C9" w:rsidRDefault="001A75C9" w:rsidP="001A75C9">
      <w:pPr>
        <w:pStyle w:val="BodyText1I2"/>
        <w:adjustRightInd w:val="0"/>
        <w:snapToGrid w:val="0"/>
        <w:spacing w:after="0" w:line="360" w:lineRule="auto"/>
        <w:ind w:leftChars="0" w:left="0" w:firstLineChars="200" w:firstLine="480"/>
        <w:rPr>
          <w:rFonts w:cs="仿宋_GB2312" w:hint="eastAsia"/>
          <w:sz w:val="24"/>
          <w:szCs w:val="24"/>
        </w:rPr>
      </w:pPr>
    </w:p>
    <w:sectPr w:rsidR="001A75C9" w:rsidRPr="001A75C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1" w:usb1="080E0000" w:usb2="00000000" w:usb3="00000000" w:csb0="00040000" w:csb1="00000000"/>
  </w:font>
  <w:font w:name="方正书宋简体">
    <w:altName w:val="宋体"/>
    <w:charset w:val="86"/>
    <w:family w:val="auto"/>
    <w:pitch w:val="default"/>
    <w:sig w:usb0="00000001" w:usb1="080E0000" w:usb2="00000000" w:usb3="00000000" w:csb0="00040000" w:csb1="00000000"/>
  </w:font>
  <w:font w:name="楷体_GB2312">
    <w:altName w:val="微软雅黑"/>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5C9"/>
    <w:rsid w:val="001A75C9"/>
    <w:rsid w:val="001F00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15CB6"/>
  <w15:chartTrackingRefBased/>
  <w15:docId w15:val="{460FF197-362A-45DE-9042-D9DB608E3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1I2">
    <w:name w:val="BodyText1I2"/>
    <w:basedOn w:val="a"/>
    <w:qFormat/>
    <w:rsid w:val="001A75C9"/>
    <w:pPr>
      <w:spacing w:after="120"/>
      <w:ind w:leftChars="200" w:left="420" w:firstLine="420"/>
      <w:textAlignment w:val="baseline"/>
    </w:pPr>
    <w:rPr>
      <w:rFonts w:ascii="宋体" w:eastAsia="宋体" w:hAnsi="宋体"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118</Words>
  <Characters>676</Characters>
  <Application>Microsoft Office Word</Application>
  <DocSecurity>0</DocSecurity>
  <Lines>5</Lines>
  <Paragraphs>1</Paragraphs>
  <ScaleCrop>false</ScaleCrop>
  <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杭州师范大学管理员</dc:creator>
  <cp:keywords/>
  <dc:description/>
  <cp:lastModifiedBy>杭州师范大学管理员</cp:lastModifiedBy>
  <cp:revision>1</cp:revision>
  <dcterms:created xsi:type="dcterms:W3CDTF">2022-10-28T02:18:00Z</dcterms:created>
  <dcterms:modified xsi:type="dcterms:W3CDTF">2022-10-28T02:19:00Z</dcterms:modified>
</cp:coreProperties>
</file>