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F5310">
      <w:pPr>
        <w:numPr>
          <w:ilvl w:val="0"/>
          <w:numId w:val="0"/>
        </w:numPr>
        <w:adjustRightInd/>
        <w:snapToGrid/>
        <w:spacing w:beforeLines="0" w:after="0" w:afterLines="0" w:line="640" w:lineRule="exact"/>
        <w:ind w:left="0" w:leftChars="0"/>
        <w:jc w:val="both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C65E8E4">
      <w:pPr>
        <w:numPr>
          <w:ilvl w:val="0"/>
          <w:numId w:val="0"/>
        </w:numPr>
        <w:adjustRightInd w:val="0"/>
        <w:snapToGrid w:val="0"/>
        <w:spacing w:beforeLines="0" w:after="0" w:afterLines="0" w:line="640" w:lineRule="exact"/>
        <w:ind w:left="1596" w:leftChars="760"/>
        <w:jc w:val="left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4BE4F73">
      <w:pPr>
        <w:numPr>
          <w:ilvl w:val="0"/>
          <w:numId w:val="0"/>
        </w:numPr>
        <w:adjustRightInd w:val="0"/>
        <w:snapToGrid w:val="0"/>
        <w:spacing w:beforeLines="0" w:after="0" w:afterLines="0" w:line="640" w:lineRule="exact"/>
        <w:ind w:left="1596" w:leftChars="760"/>
        <w:jc w:val="left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省“三农九方”科技协作计划“引领型”项目需求征集表</w:t>
      </w:r>
    </w:p>
    <w:p w14:paraId="3888D47E">
      <w:pPr>
        <w:numPr>
          <w:ilvl w:val="0"/>
          <w:numId w:val="0"/>
        </w:numPr>
        <w:adjustRightInd w:val="0"/>
        <w:snapToGrid w:val="0"/>
        <w:spacing w:beforeLines="0" w:after="0" w:afterLines="0" w:line="640" w:lineRule="exact"/>
        <w:ind w:left="1596" w:leftChars="760"/>
        <w:jc w:val="left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18FAC5E1">
      <w:pPr>
        <w:spacing w:line="640" w:lineRule="exact"/>
        <w:jc w:val="left"/>
        <w:rPr>
          <w:rFonts w:hint="default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lang w:val="en-US" w:eastAsia="zh-CN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u w:val="single"/>
          <w:lang w:val="en-US" w:eastAsia="zh-CN"/>
        </w:rPr>
        <w:t xml:space="preserve">               </w:t>
      </w: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2"/>
          <w:szCs w:val="22"/>
          <w:lang w:val="en-US" w:eastAsia="zh-CN"/>
        </w:rPr>
        <w:t>单位（盖章）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166"/>
        <w:gridCol w:w="759"/>
        <w:gridCol w:w="951"/>
        <w:gridCol w:w="1080"/>
        <w:gridCol w:w="1145"/>
        <w:gridCol w:w="1015"/>
        <w:gridCol w:w="2112"/>
        <w:gridCol w:w="1061"/>
        <w:gridCol w:w="971"/>
        <w:gridCol w:w="810"/>
        <w:gridCol w:w="1235"/>
        <w:gridCol w:w="1144"/>
      </w:tblGrid>
      <w:tr w14:paraId="33C7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674" w:type="dxa"/>
            <w:noWrap w:val="0"/>
            <w:vAlign w:val="center"/>
          </w:tcPr>
          <w:p w14:paraId="5D542535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序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号</w:t>
            </w:r>
          </w:p>
        </w:tc>
        <w:tc>
          <w:tcPr>
            <w:tcW w:w="1166" w:type="dxa"/>
            <w:noWrap w:val="0"/>
            <w:vAlign w:val="center"/>
          </w:tcPr>
          <w:p w14:paraId="2F4A10DE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759" w:type="dxa"/>
            <w:noWrap w:val="0"/>
            <w:vAlign w:val="center"/>
          </w:tcPr>
          <w:p w14:paraId="7C1A50D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需求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来源单位</w:t>
            </w:r>
          </w:p>
        </w:tc>
        <w:tc>
          <w:tcPr>
            <w:tcW w:w="951" w:type="dxa"/>
            <w:noWrap w:val="0"/>
            <w:vAlign w:val="center"/>
          </w:tcPr>
          <w:p w14:paraId="039C7CE0">
            <w:pPr>
              <w:jc w:val="center"/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目前存在</w:t>
            </w:r>
          </w:p>
          <w:p w14:paraId="3F873BCB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问题</w:t>
            </w:r>
          </w:p>
        </w:tc>
        <w:tc>
          <w:tcPr>
            <w:tcW w:w="1080" w:type="dxa"/>
            <w:noWrap w:val="0"/>
            <w:vAlign w:val="center"/>
          </w:tcPr>
          <w:p w14:paraId="2ABB91D9">
            <w:pPr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主要研究内容</w:t>
            </w:r>
          </w:p>
        </w:tc>
        <w:tc>
          <w:tcPr>
            <w:tcW w:w="1145" w:type="dxa"/>
            <w:noWrap w:val="0"/>
            <w:vAlign w:val="center"/>
          </w:tcPr>
          <w:p w14:paraId="647E7EF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主要技术指标</w:t>
            </w:r>
          </w:p>
        </w:tc>
        <w:tc>
          <w:tcPr>
            <w:tcW w:w="1015" w:type="dxa"/>
            <w:noWrap w:val="0"/>
            <w:vAlign w:val="center"/>
          </w:tcPr>
          <w:p w14:paraId="52F285A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</w:rPr>
              <w:t>预期标志性成果</w:t>
            </w:r>
          </w:p>
        </w:tc>
        <w:tc>
          <w:tcPr>
            <w:tcW w:w="2112" w:type="dxa"/>
            <w:noWrap w:val="0"/>
            <w:vAlign w:val="center"/>
          </w:tcPr>
          <w:p w14:paraId="40DDFD0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攻关水平</w:t>
            </w:r>
          </w:p>
          <w:p w14:paraId="319AF6C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（可多选）</w:t>
            </w:r>
          </w:p>
        </w:tc>
        <w:tc>
          <w:tcPr>
            <w:tcW w:w="1061" w:type="dxa"/>
            <w:noWrap w:val="0"/>
            <w:vAlign w:val="center"/>
          </w:tcPr>
          <w:p w14:paraId="6F33873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省内优势平台、团队</w:t>
            </w:r>
          </w:p>
        </w:tc>
        <w:tc>
          <w:tcPr>
            <w:tcW w:w="971" w:type="dxa"/>
            <w:noWrap w:val="0"/>
            <w:vAlign w:val="center"/>
          </w:tcPr>
          <w:p w14:paraId="2192487F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成果应用场景</w:t>
            </w:r>
          </w:p>
        </w:tc>
        <w:tc>
          <w:tcPr>
            <w:tcW w:w="810" w:type="dxa"/>
            <w:noWrap w:val="0"/>
            <w:vAlign w:val="center"/>
          </w:tcPr>
          <w:p w14:paraId="027544F6">
            <w:pPr>
              <w:ind w:left="0" w:leftChars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</w:rPr>
              <w:t>建议补助资金</w:t>
            </w:r>
          </w:p>
        </w:tc>
        <w:tc>
          <w:tcPr>
            <w:tcW w:w="1235" w:type="dxa"/>
            <w:noWrap w:val="0"/>
            <w:vAlign w:val="center"/>
          </w:tcPr>
          <w:p w14:paraId="38F3FB89">
            <w:pPr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2"/>
                <w:szCs w:val="22"/>
                <w:lang w:eastAsia="zh-CN"/>
              </w:rPr>
              <w:t>所属产业</w:t>
            </w:r>
          </w:p>
          <w:p w14:paraId="450A4AF4">
            <w:pPr>
              <w:snapToGrid w:val="0"/>
              <w:spacing w:line="220" w:lineRule="exact"/>
              <w:ind w:left="0" w:leftChars="0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粮油、蔬菜、果品、茶叶、蚕桑、食用菌、中药材、花卉、畜牧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、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val="en-US" w:eastAsia="zh-CN" w:bidi="ar"/>
              </w:rPr>
              <w:t>水产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 w:bidi="ar"/>
              </w:rPr>
              <w:t>、植保、土肥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lang w:eastAsia="zh-CN"/>
              </w:rPr>
              <w:t>）</w:t>
            </w:r>
          </w:p>
        </w:tc>
        <w:tc>
          <w:tcPr>
            <w:tcW w:w="1144" w:type="dxa"/>
            <w:noWrap w:val="0"/>
            <w:vAlign w:val="center"/>
          </w:tcPr>
          <w:p w14:paraId="45433398">
            <w:pPr>
              <w:pStyle w:val="4"/>
              <w:spacing w:line="220" w:lineRule="exact"/>
              <w:ind w:left="0" w:leftChars="0"/>
              <w:jc w:val="center"/>
              <w:rPr>
                <w:rFonts w:hint="default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2"/>
                <w:szCs w:val="22"/>
                <w:lang w:eastAsia="zh-CN"/>
              </w:rPr>
              <w:t>组织模式（科企或企科）</w:t>
            </w:r>
          </w:p>
        </w:tc>
      </w:tr>
      <w:tr w14:paraId="4B2B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674" w:type="dxa"/>
            <w:noWrap w:val="0"/>
            <w:vAlign w:val="center"/>
          </w:tcPr>
          <w:p w14:paraId="6CD92928">
            <w:pPr>
              <w:jc w:val="center"/>
            </w:pPr>
          </w:p>
        </w:tc>
        <w:tc>
          <w:tcPr>
            <w:tcW w:w="1166" w:type="dxa"/>
            <w:noWrap w:val="0"/>
            <w:vAlign w:val="center"/>
          </w:tcPr>
          <w:p w14:paraId="78CA2881">
            <w:pPr>
              <w:jc w:val="center"/>
            </w:pPr>
          </w:p>
        </w:tc>
        <w:tc>
          <w:tcPr>
            <w:tcW w:w="759" w:type="dxa"/>
            <w:noWrap w:val="0"/>
            <w:vAlign w:val="center"/>
          </w:tcPr>
          <w:p w14:paraId="3F046B8B">
            <w:pPr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267E20F1">
            <w:pPr>
              <w:jc w:val="center"/>
            </w:pPr>
          </w:p>
        </w:tc>
        <w:tc>
          <w:tcPr>
            <w:tcW w:w="1080" w:type="dxa"/>
            <w:noWrap w:val="0"/>
            <w:vAlign w:val="center"/>
          </w:tcPr>
          <w:p w14:paraId="175235A4">
            <w:pPr>
              <w:jc w:val="center"/>
            </w:pPr>
          </w:p>
        </w:tc>
        <w:tc>
          <w:tcPr>
            <w:tcW w:w="1145" w:type="dxa"/>
            <w:noWrap w:val="0"/>
            <w:vAlign w:val="center"/>
          </w:tcPr>
          <w:p w14:paraId="2CB606B2">
            <w:pPr>
              <w:jc w:val="center"/>
            </w:pPr>
          </w:p>
        </w:tc>
        <w:tc>
          <w:tcPr>
            <w:tcW w:w="1015" w:type="dxa"/>
            <w:noWrap w:val="0"/>
            <w:vAlign w:val="center"/>
          </w:tcPr>
          <w:p w14:paraId="207403AD">
            <w:pPr>
              <w:jc w:val="center"/>
            </w:pPr>
          </w:p>
        </w:tc>
        <w:tc>
          <w:tcPr>
            <w:tcW w:w="2112" w:type="dxa"/>
            <w:noWrap w:val="0"/>
            <w:vAlign w:val="center"/>
          </w:tcPr>
          <w:p w14:paraId="117D1E8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1.领跑（无人区）技术</w:t>
            </w:r>
          </w:p>
          <w:p w14:paraId="27D87B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2.达到对标国际先进技术水平</w:t>
            </w:r>
          </w:p>
          <w:p w14:paraId="40EE52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达到国内领先水平</w:t>
            </w:r>
          </w:p>
          <w:p w14:paraId="137AAB9E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.开发出国产化替代的产品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  <w:t>并应用</w:t>
            </w:r>
          </w:p>
        </w:tc>
        <w:tc>
          <w:tcPr>
            <w:tcW w:w="1061" w:type="dxa"/>
            <w:noWrap w:val="0"/>
            <w:vAlign w:val="center"/>
          </w:tcPr>
          <w:p w14:paraId="6DED8002">
            <w:pPr>
              <w:jc w:val="center"/>
            </w:pPr>
          </w:p>
        </w:tc>
        <w:tc>
          <w:tcPr>
            <w:tcW w:w="971" w:type="dxa"/>
            <w:noWrap w:val="0"/>
            <w:vAlign w:val="center"/>
          </w:tcPr>
          <w:p w14:paraId="2123C380">
            <w:pPr>
              <w:jc w:val="center"/>
            </w:pPr>
          </w:p>
        </w:tc>
        <w:tc>
          <w:tcPr>
            <w:tcW w:w="810" w:type="dxa"/>
            <w:noWrap w:val="0"/>
            <w:vAlign w:val="center"/>
          </w:tcPr>
          <w:p w14:paraId="06499846">
            <w:pPr>
              <w:jc w:val="center"/>
            </w:pPr>
          </w:p>
        </w:tc>
        <w:tc>
          <w:tcPr>
            <w:tcW w:w="1235" w:type="dxa"/>
            <w:noWrap w:val="0"/>
            <w:vAlign w:val="center"/>
          </w:tcPr>
          <w:p w14:paraId="635850B5">
            <w:pPr>
              <w:jc w:val="center"/>
            </w:pPr>
          </w:p>
        </w:tc>
        <w:tc>
          <w:tcPr>
            <w:tcW w:w="1144" w:type="dxa"/>
            <w:noWrap w:val="0"/>
            <w:vAlign w:val="center"/>
          </w:tcPr>
          <w:p w14:paraId="03CC41D7">
            <w:pPr>
              <w:jc w:val="center"/>
            </w:pPr>
          </w:p>
        </w:tc>
      </w:tr>
      <w:tr w14:paraId="4D641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674" w:type="dxa"/>
            <w:noWrap w:val="0"/>
            <w:vAlign w:val="center"/>
          </w:tcPr>
          <w:p w14:paraId="0F3E3D9C">
            <w:pPr>
              <w:jc w:val="center"/>
            </w:pPr>
          </w:p>
        </w:tc>
        <w:tc>
          <w:tcPr>
            <w:tcW w:w="1166" w:type="dxa"/>
            <w:noWrap w:val="0"/>
            <w:vAlign w:val="center"/>
          </w:tcPr>
          <w:p w14:paraId="2452CB1D">
            <w:pPr>
              <w:jc w:val="center"/>
            </w:pPr>
          </w:p>
        </w:tc>
        <w:tc>
          <w:tcPr>
            <w:tcW w:w="759" w:type="dxa"/>
            <w:noWrap w:val="0"/>
            <w:vAlign w:val="center"/>
          </w:tcPr>
          <w:p w14:paraId="0CD6CC1E">
            <w:pPr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6001FEE5">
            <w:pPr>
              <w:jc w:val="center"/>
            </w:pPr>
          </w:p>
        </w:tc>
        <w:tc>
          <w:tcPr>
            <w:tcW w:w="1080" w:type="dxa"/>
            <w:noWrap w:val="0"/>
            <w:vAlign w:val="center"/>
          </w:tcPr>
          <w:p w14:paraId="0908A4B1">
            <w:pPr>
              <w:jc w:val="center"/>
            </w:pPr>
          </w:p>
        </w:tc>
        <w:tc>
          <w:tcPr>
            <w:tcW w:w="1145" w:type="dxa"/>
            <w:noWrap w:val="0"/>
            <w:vAlign w:val="center"/>
          </w:tcPr>
          <w:p w14:paraId="22D5AA96">
            <w:pPr>
              <w:jc w:val="center"/>
            </w:pPr>
          </w:p>
        </w:tc>
        <w:tc>
          <w:tcPr>
            <w:tcW w:w="1015" w:type="dxa"/>
            <w:noWrap w:val="0"/>
            <w:vAlign w:val="center"/>
          </w:tcPr>
          <w:p w14:paraId="6BBA21C8">
            <w:pPr>
              <w:jc w:val="center"/>
            </w:pPr>
          </w:p>
        </w:tc>
        <w:tc>
          <w:tcPr>
            <w:tcW w:w="2112" w:type="dxa"/>
            <w:noWrap w:val="0"/>
            <w:vAlign w:val="center"/>
          </w:tcPr>
          <w:p w14:paraId="22109A49">
            <w:pPr>
              <w:jc w:val="center"/>
            </w:pPr>
          </w:p>
        </w:tc>
        <w:tc>
          <w:tcPr>
            <w:tcW w:w="1061" w:type="dxa"/>
            <w:noWrap w:val="0"/>
            <w:vAlign w:val="center"/>
          </w:tcPr>
          <w:p w14:paraId="1661BCEC">
            <w:pPr>
              <w:jc w:val="center"/>
            </w:pPr>
          </w:p>
        </w:tc>
        <w:tc>
          <w:tcPr>
            <w:tcW w:w="971" w:type="dxa"/>
            <w:noWrap w:val="0"/>
            <w:vAlign w:val="center"/>
          </w:tcPr>
          <w:p w14:paraId="129329ED">
            <w:pPr>
              <w:jc w:val="center"/>
            </w:pPr>
          </w:p>
        </w:tc>
        <w:tc>
          <w:tcPr>
            <w:tcW w:w="810" w:type="dxa"/>
            <w:noWrap w:val="0"/>
            <w:vAlign w:val="center"/>
          </w:tcPr>
          <w:p w14:paraId="31FC7496">
            <w:pPr>
              <w:jc w:val="center"/>
            </w:pPr>
          </w:p>
        </w:tc>
        <w:tc>
          <w:tcPr>
            <w:tcW w:w="1235" w:type="dxa"/>
            <w:noWrap w:val="0"/>
            <w:vAlign w:val="center"/>
          </w:tcPr>
          <w:p w14:paraId="7C8502A1">
            <w:pPr>
              <w:jc w:val="center"/>
            </w:pPr>
          </w:p>
        </w:tc>
        <w:tc>
          <w:tcPr>
            <w:tcW w:w="1144" w:type="dxa"/>
            <w:noWrap w:val="0"/>
            <w:vAlign w:val="center"/>
          </w:tcPr>
          <w:p w14:paraId="56F1CC5C">
            <w:pPr>
              <w:jc w:val="center"/>
            </w:pPr>
          </w:p>
        </w:tc>
      </w:tr>
    </w:tbl>
    <w:p w14:paraId="1CACFA2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92CA0"/>
    <w:rsid w:val="1B0921EA"/>
    <w:rsid w:val="22A92CA0"/>
    <w:rsid w:val="3CCF09CC"/>
    <w:rsid w:val="54BB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spacing w:line="360" w:lineRule="auto"/>
      <w:ind w:firstLine="643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360" w:lineRule="auto"/>
      <w:ind w:firstLine="643" w:firstLineChars="200"/>
      <w:jc w:val="center"/>
      <w:outlineLvl w:val="1"/>
    </w:pPr>
    <w:rPr>
      <w:rFonts w:ascii="仿宋_GB2312" w:hAnsi="仿宋_GB2312" w:eastAsia="仿宋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nhideWhenUsed/>
    <w:qFormat/>
    <w:uiPriority w:val="1"/>
    <w:pPr>
      <w:ind w:left="214"/>
    </w:pPr>
    <w:rPr>
      <w:sz w:val="32"/>
      <w:szCs w:val="32"/>
    </w:rPr>
  </w:style>
  <w:style w:type="paragraph" w:styleId="5">
    <w:name w:val="index 7"/>
    <w:basedOn w:val="1"/>
    <w:next w:val="1"/>
    <w:unhideWhenUsed/>
    <w:qFormat/>
    <w:uiPriority w:val="0"/>
    <w:pPr>
      <w:ind w:left="25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1 Char"/>
    <w:link w:val="2"/>
    <w:qFormat/>
    <w:uiPriority w:val="9"/>
    <w:rPr>
      <w:rFonts w:ascii="Times New Roman" w:hAnsi="Times New Roman" w:eastAsia="黑体"/>
      <w:b/>
      <w:bCs/>
      <w:kern w:val="44"/>
      <w:sz w:val="32"/>
      <w:szCs w:val="44"/>
    </w:rPr>
  </w:style>
  <w:style w:type="character" w:customStyle="1" w:styleId="10">
    <w:name w:val="标题 2 Char"/>
    <w:link w:val="3"/>
    <w:qFormat/>
    <w:uiPriority w:val="99"/>
    <w:rPr>
      <w:rFonts w:ascii="仿宋_GB2312" w:hAnsi="仿宋_GB2312" w:eastAsia="仿宋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2025-08-21T12:33:00Z</dcterms:created>
  <dc:creator>张华蓉</dc:creator>
  <cp:lastModifiedBy>张华蓉</cp:lastModifiedBy>
  <dcterms:modified xsi:type="dcterms:W3CDTF">2025-08-21T12:36:13Z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DF75DEEDE9274D74A4CD8EE472C1E456_11</vt:lpwstr>
  </property>
  <property fmtid="{D5CDD505-2E9C-101B-9397-08002B2CF9AE}" pid="4" name="KSOTemplateDocerSaveRecord">
    <vt:lpwstr>eyJoZGlkIjoiZmI2MjAzY2MxYzBhMDk1N2E3OTJkOWNhMGMzMjgwNjYiLCJ1c2VySWQiOiIxNjkzODkwMzQ1In0=</vt:lpwstr>
  </property>
</Properties>
</file>