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600" w:lineRule="exact"/>
        <w:outlineLvl w:val="0"/>
        <w:rPr>
          <w:rFonts w:eastAsia="黑体"/>
          <w:color w:val="000000"/>
          <w:sz w:val="32"/>
          <w:szCs w:val="32"/>
        </w:rPr>
      </w:pPr>
      <w:bookmarkStart w:id="0" w:name="_GoBack"/>
      <w:bookmarkEnd w:id="0"/>
      <w:r>
        <w:rPr>
          <w:rFonts w:eastAsia="黑体"/>
          <w:color w:val="000000"/>
          <w:sz w:val="32"/>
          <w:szCs w:val="32"/>
        </w:rPr>
        <w:t>附件1</w:t>
      </w:r>
    </w:p>
    <w:p>
      <w:pPr>
        <w:spacing w:line="400" w:lineRule="exact"/>
        <w:jc w:val="center"/>
        <w:rPr>
          <w:rFonts w:eastAsia="方正小标宋简体"/>
          <w:color w:val="000000"/>
          <w:kern w:val="0"/>
          <w:sz w:val="44"/>
          <w:szCs w:val="44"/>
        </w:rPr>
      </w:pPr>
    </w:p>
    <w:p>
      <w:pPr>
        <w:pStyle w:val="3"/>
        <w:spacing w:line="700" w:lineRule="exact"/>
        <w:ind w:left="0"/>
        <w:jc w:val="center"/>
        <w:rPr>
          <w:rFonts w:eastAsia="方正小标宋简体"/>
          <w:color w:val="000000"/>
          <w:kern w:val="0"/>
          <w:sz w:val="44"/>
          <w:szCs w:val="44"/>
        </w:rPr>
      </w:pPr>
      <w:r>
        <w:rPr>
          <w:rFonts w:eastAsia="方正小标宋简体"/>
          <w:color w:val="000000"/>
          <w:kern w:val="0"/>
          <w:sz w:val="44"/>
          <w:szCs w:val="44"/>
        </w:rPr>
        <w:t>项目申报具体要求和相关注意事项</w:t>
      </w:r>
    </w:p>
    <w:p/>
    <w:p>
      <w:pPr>
        <w:pStyle w:val="2"/>
        <w:spacing w:line="580" w:lineRule="exact"/>
        <w:ind w:left="0"/>
        <w:rPr>
          <w:rFonts w:eastAsia="黑体"/>
          <w:color w:val="000000"/>
        </w:rPr>
      </w:pPr>
      <w:r>
        <w:rPr>
          <w:rFonts w:eastAsia="黑体"/>
          <w:color w:val="000000"/>
        </w:rPr>
        <w:t xml:space="preserve">    一、申报单位要求</w:t>
      </w:r>
    </w:p>
    <w:p>
      <w:pPr>
        <w:pStyle w:val="2"/>
        <w:spacing w:line="580" w:lineRule="exact"/>
        <w:ind w:left="0" w:firstLine="640" w:firstLineChars="200"/>
        <w:rPr>
          <w:rFonts w:eastAsia="仿宋_GB2312"/>
          <w:color w:val="000000"/>
        </w:rPr>
      </w:pPr>
      <w:r>
        <w:rPr>
          <w:rFonts w:eastAsia="仿宋_GB2312"/>
          <w:color w:val="000000"/>
        </w:rPr>
        <w:t>1</w:t>
      </w:r>
      <w:r>
        <w:rPr>
          <w:rFonts w:hint="eastAsia" w:eastAsia="仿宋_GB2312"/>
          <w:color w:val="000000"/>
        </w:rPr>
        <w:t>．</w:t>
      </w:r>
      <w:r>
        <w:rPr>
          <w:rFonts w:eastAsia="仿宋_GB2312"/>
          <w:color w:val="000000"/>
        </w:rPr>
        <w:t>申报单位、参与单位以及团队成员诚信状况良好，无在惩戒执行期内的科研失信行为记录和相关社会领域信用“黑名单”记录。</w:t>
      </w:r>
    </w:p>
    <w:p>
      <w:pPr>
        <w:pStyle w:val="2"/>
        <w:spacing w:line="580" w:lineRule="exact"/>
        <w:ind w:left="0" w:firstLine="640" w:firstLineChars="200"/>
        <w:rPr>
          <w:rFonts w:eastAsia="仿宋_GB2312"/>
          <w:color w:val="000000"/>
        </w:rPr>
      </w:pPr>
      <w:r>
        <w:rPr>
          <w:rFonts w:eastAsia="仿宋_GB2312"/>
          <w:color w:val="000000"/>
        </w:rPr>
        <w:t>2</w:t>
      </w:r>
      <w:r>
        <w:rPr>
          <w:rFonts w:hint="eastAsia" w:eastAsia="仿宋_GB2312"/>
          <w:color w:val="000000"/>
        </w:rPr>
        <w:t>．</w:t>
      </w:r>
      <w:r>
        <w:rPr>
          <w:rFonts w:eastAsia="仿宋_GB2312"/>
          <w:color w:val="000000"/>
        </w:rPr>
        <w:t>申报单位同一个项目只能通过单个推荐单位申报，不得多头申报和重复申报。</w:t>
      </w:r>
    </w:p>
    <w:p>
      <w:pPr>
        <w:pStyle w:val="3"/>
        <w:spacing w:line="580" w:lineRule="exact"/>
        <w:ind w:left="0" w:firstLine="640" w:firstLineChars="200"/>
        <w:rPr>
          <w:rFonts w:eastAsia="仿宋_GB2312"/>
          <w:sz w:val="32"/>
          <w:szCs w:val="32"/>
        </w:rPr>
      </w:pPr>
      <w:r>
        <w:rPr>
          <w:rFonts w:eastAsia="仿宋_GB2312"/>
          <w:color w:val="000000"/>
          <w:sz w:val="32"/>
          <w:szCs w:val="32"/>
        </w:rPr>
        <w:t>3</w:t>
      </w:r>
      <w:r>
        <w:rPr>
          <w:rFonts w:hint="eastAsia" w:eastAsia="仿宋_GB2312"/>
          <w:color w:val="000000"/>
          <w:sz w:val="32"/>
          <w:szCs w:val="32"/>
        </w:rPr>
        <w:t>．</w:t>
      </w:r>
      <w:r>
        <w:rPr>
          <w:rFonts w:eastAsia="仿宋_GB2312"/>
          <w:color w:val="000000"/>
          <w:sz w:val="32"/>
          <w:szCs w:val="32"/>
        </w:rPr>
        <w:t>申报单位为企业的，研发投入原则上不低于同行业研发投入平均水平，且自筹比例一般不低于80%（26县、海岛县企业和农业领域项目原则上不低于60%）。</w:t>
      </w:r>
    </w:p>
    <w:p>
      <w:pPr>
        <w:pStyle w:val="3"/>
        <w:spacing w:line="580" w:lineRule="exact"/>
        <w:ind w:left="0" w:firstLine="640" w:firstLineChars="200"/>
        <w:rPr>
          <w:rFonts w:eastAsia="仿宋_GB2312"/>
          <w:sz w:val="32"/>
          <w:szCs w:val="32"/>
        </w:rPr>
      </w:pPr>
      <w:r>
        <w:rPr>
          <w:rFonts w:eastAsia="仿宋_GB2312"/>
          <w:sz w:val="32"/>
          <w:szCs w:val="32"/>
        </w:rPr>
        <w:t>4</w:t>
      </w:r>
      <w:r>
        <w:rPr>
          <w:rFonts w:hint="eastAsia" w:eastAsia="仿宋_GB2312"/>
          <w:sz w:val="32"/>
          <w:szCs w:val="32"/>
        </w:rPr>
        <w:t>．</w:t>
      </w:r>
      <w:r>
        <w:rPr>
          <w:rFonts w:eastAsia="仿宋_GB2312"/>
          <w:sz w:val="32"/>
          <w:szCs w:val="32"/>
        </w:rPr>
        <w:t>“尖兵计划”榜单项目牵头申报单位和参与单位无注册时间要求，但应具有相应的研发能力和研发投入。</w:t>
      </w:r>
    </w:p>
    <w:p>
      <w:pPr>
        <w:pStyle w:val="3"/>
        <w:spacing w:line="580" w:lineRule="exact"/>
        <w:ind w:left="0" w:firstLine="640" w:firstLineChars="200"/>
        <w:rPr>
          <w:rFonts w:eastAsia="仿宋_GB2312"/>
          <w:sz w:val="32"/>
          <w:szCs w:val="32"/>
        </w:rPr>
      </w:pPr>
      <w:r>
        <w:rPr>
          <w:rFonts w:eastAsia="仿宋_GB2312"/>
          <w:sz w:val="32"/>
          <w:szCs w:val="32"/>
        </w:rPr>
        <w:t>5</w:t>
      </w:r>
      <w:r>
        <w:rPr>
          <w:rFonts w:hint="eastAsia" w:eastAsia="仿宋_GB2312"/>
          <w:sz w:val="32"/>
          <w:szCs w:val="32"/>
        </w:rPr>
        <w:t>．</w:t>
      </w:r>
      <w:r>
        <w:rPr>
          <w:rFonts w:eastAsia="仿宋_GB2312"/>
          <w:sz w:val="32"/>
          <w:szCs w:val="32"/>
        </w:rPr>
        <w:t>项目任务型创新联合体榜单，由相关产业链龙头企业（优先支持科技领军企业、科技小巨人企业、专精特新小巨人企业）牵头，联合上下游企业和高校院所组建创新联合体，聚焦榜单拟定的目标任务开展关键共性技术攻关。</w:t>
      </w:r>
    </w:p>
    <w:p>
      <w:pPr>
        <w:pStyle w:val="3"/>
        <w:spacing w:line="580" w:lineRule="exact"/>
        <w:ind w:left="0" w:firstLine="640" w:firstLineChars="200"/>
        <w:rPr>
          <w:rFonts w:eastAsia="仿宋_GB2312"/>
          <w:sz w:val="32"/>
          <w:szCs w:val="32"/>
        </w:rPr>
      </w:pPr>
      <w:r>
        <w:rPr>
          <w:rFonts w:eastAsia="仿宋_GB2312"/>
          <w:sz w:val="32"/>
          <w:szCs w:val="32"/>
        </w:rPr>
        <w:t>6</w:t>
      </w:r>
      <w:r>
        <w:rPr>
          <w:rFonts w:hint="eastAsia" w:eastAsia="仿宋_GB2312"/>
          <w:sz w:val="32"/>
          <w:szCs w:val="32"/>
        </w:rPr>
        <w:t>．</w:t>
      </w:r>
      <w:r>
        <w:rPr>
          <w:rFonts w:eastAsia="仿宋_GB2312"/>
          <w:sz w:val="32"/>
          <w:szCs w:val="32"/>
        </w:rPr>
        <w:t>须签订“军令状”的项目，应对攻关目标、里程碑节点、攻关时限、技术/产品具体指标等进行约定，承诺按照对标单位的领先技术或产品要求，开发出符合条件的技术/产品并在最终用户单位实现示范应用。未能如期按要求完成攻关目标的，将按照项目管理规定接受统一处置。</w:t>
      </w:r>
    </w:p>
    <w:p>
      <w:pPr>
        <w:pStyle w:val="3"/>
        <w:spacing w:line="580" w:lineRule="exact"/>
        <w:ind w:left="0" w:firstLine="640" w:firstLineChars="200"/>
        <w:rPr>
          <w:rFonts w:eastAsia="仿宋_GB2312"/>
          <w:sz w:val="32"/>
          <w:szCs w:val="32"/>
        </w:rPr>
      </w:pPr>
      <w:r>
        <w:rPr>
          <w:rFonts w:eastAsia="仿宋_GB2312"/>
          <w:sz w:val="32"/>
          <w:szCs w:val="32"/>
        </w:rPr>
        <w:t>7</w:t>
      </w:r>
      <w:r>
        <w:rPr>
          <w:rFonts w:hint="eastAsia" w:eastAsia="仿宋_GB2312"/>
          <w:sz w:val="32"/>
          <w:szCs w:val="32"/>
        </w:rPr>
        <w:t>．</w:t>
      </w:r>
      <w:r>
        <w:rPr>
          <w:rFonts w:eastAsia="仿宋_GB2312"/>
          <w:sz w:val="32"/>
          <w:szCs w:val="32"/>
        </w:rPr>
        <w:t>无省级科技创新平台的申报单位应满足以下条件和要求：</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540"/>
        <w:gridCol w:w="6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97" w:type="dxa"/>
            <w:noWrap w:val="0"/>
            <w:vAlign w:val="center"/>
          </w:tcPr>
          <w:p>
            <w:pPr>
              <w:spacing w:line="280" w:lineRule="exact"/>
              <w:jc w:val="center"/>
              <w:rPr>
                <w:b/>
                <w:bCs/>
                <w:color w:val="000000"/>
                <w:szCs w:val="21"/>
              </w:rPr>
            </w:pPr>
            <w:r>
              <w:rPr>
                <w:b/>
                <w:bCs/>
                <w:color w:val="000000"/>
                <w:szCs w:val="21"/>
              </w:rPr>
              <w:t>序号</w:t>
            </w:r>
          </w:p>
        </w:tc>
        <w:tc>
          <w:tcPr>
            <w:tcW w:w="1540" w:type="dxa"/>
            <w:noWrap w:val="0"/>
            <w:vAlign w:val="center"/>
          </w:tcPr>
          <w:p>
            <w:pPr>
              <w:spacing w:line="280" w:lineRule="exact"/>
              <w:jc w:val="center"/>
              <w:rPr>
                <w:b/>
                <w:bCs/>
                <w:color w:val="000000"/>
                <w:szCs w:val="21"/>
              </w:rPr>
            </w:pPr>
            <w:r>
              <w:rPr>
                <w:b/>
                <w:bCs/>
                <w:color w:val="000000"/>
                <w:szCs w:val="21"/>
              </w:rPr>
              <w:t>基本条件</w:t>
            </w:r>
          </w:p>
        </w:tc>
        <w:tc>
          <w:tcPr>
            <w:tcW w:w="6240" w:type="dxa"/>
            <w:noWrap w:val="0"/>
            <w:vAlign w:val="center"/>
          </w:tcPr>
          <w:p>
            <w:pPr>
              <w:spacing w:line="280" w:lineRule="exact"/>
              <w:jc w:val="center"/>
              <w:rPr>
                <w:b/>
                <w:bCs/>
                <w:color w:val="000000"/>
                <w:szCs w:val="21"/>
              </w:rPr>
            </w:pPr>
            <w:r>
              <w:rPr>
                <w:b/>
                <w:bCs/>
                <w:color w:val="000000"/>
                <w:szCs w:val="21"/>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7" w:type="dxa"/>
            <w:noWrap w:val="0"/>
            <w:vAlign w:val="center"/>
          </w:tcPr>
          <w:p>
            <w:pPr>
              <w:spacing w:line="280" w:lineRule="exact"/>
              <w:jc w:val="center"/>
              <w:rPr>
                <w:color w:val="000000"/>
                <w:szCs w:val="21"/>
              </w:rPr>
            </w:pPr>
            <w:r>
              <w:rPr>
                <w:color w:val="000000"/>
                <w:szCs w:val="21"/>
              </w:rPr>
              <w:t>1</w:t>
            </w:r>
          </w:p>
        </w:tc>
        <w:tc>
          <w:tcPr>
            <w:tcW w:w="1540" w:type="dxa"/>
            <w:noWrap w:val="0"/>
            <w:vAlign w:val="center"/>
          </w:tcPr>
          <w:p>
            <w:pPr>
              <w:spacing w:line="280" w:lineRule="exact"/>
              <w:jc w:val="center"/>
              <w:rPr>
                <w:color w:val="000000"/>
                <w:szCs w:val="21"/>
              </w:rPr>
            </w:pPr>
            <w:r>
              <w:rPr>
                <w:color w:val="000000"/>
                <w:szCs w:val="21"/>
              </w:rPr>
              <w:t>研发投入</w:t>
            </w:r>
          </w:p>
        </w:tc>
        <w:tc>
          <w:tcPr>
            <w:tcW w:w="6240" w:type="dxa"/>
            <w:noWrap w:val="0"/>
            <w:vAlign w:val="center"/>
          </w:tcPr>
          <w:p>
            <w:pPr>
              <w:pStyle w:val="5"/>
              <w:shd w:val="clear" w:color="auto" w:fill="FFFFFF"/>
              <w:spacing w:beforeAutospacing="0" w:afterAutospacing="0" w:line="280" w:lineRule="exact"/>
              <w:rPr>
                <w:sz w:val="21"/>
                <w:szCs w:val="21"/>
              </w:rPr>
            </w:pPr>
            <w:r>
              <w:rPr>
                <w:rFonts w:eastAsia="å¾®è½¯é›…é»‘"/>
                <w:sz w:val="21"/>
                <w:szCs w:val="21"/>
              </w:rPr>
              <w:t>企业上一年度研究开发费用占销售收入总额的比例符合如下要求：销售收入小于5000万元的，不低于5%，且研究开发费用不低于100万元；销售收入5000万元至20000万元的，不低于4%，且研究开发费用不低于250万元；销售收入20000万元以上的，不低于3%，且研究开发费用不低于800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noWrap w:val="0"/>
            <w:vAlign w:val="center"/>
          </w:tcPr>
          <w:p>
            <w:pPr>
              <w:spacing w:line="280" w:lineRule="exact"/>
              <w:jc w:val="center"/>
              <w:rPr>
                <w:color w:val="000000"/>
                <w:szCs w:val="21"/>
              </w:rPr>
            </w:pPr>
            <w:r>
              <w:rPr>
                <w:color w:val="000000"/>
                <w:szCs w:val="21"/>
              </w:rPr>
              <w:t>2</w:t>
            </w:r>
          </w:p>
        </w:tc>
        <w:tc>
          <w:tcPr>
            <w:tcW w:w="1540" w:type="dxa"/>
            <w:noWrap w:val="0"/>
            <w:vAlign w:val="center"/>
          </w:tcPr>
          <w:p>
            <w:pPr>
              <w:spacing w:line="280" w:lineRule="exact"/>
              <w:jc w:val="center"/>
              <w:rPr>
                <w:color w:val="000000"/>
                <w:szCs w:val="21"/>
              </w:rPr>
            </w:pPr>
            <w:r>
              <w:rPr>
                <w:color w:val="000000"/>
                <w:szCs w:val="21"/>
              </w:rPr>
              <w:t>科研人员</w:t>
            </w:r>
          </w:p>
        </w:tc>
        <w:tc>
          <w:tcPr>
            <w:tcW w:w="6240" w:type="dxa"/>
            <w:noWrap w:val="0"/>
            <w:vAlign w:val="center"/>
          </w:tcPr>
          <w:p>
            <w:pPr>
              <w:spacing w:line="280" w:lineRule="exact"/>
              <w:rPr>
                <w:szCs w:val="21"/>
              </w:rPr>
            </w:pPr>
            <w:r>
              <w:rPr>
                <w:rFonts w:eastAsia="å¾®è½¯é›…é»‘"/>
                <w:szCs w:val="21"/>
                <w:shd w:val="clear" w:color="auto" w:fill="FFFFFF"/>
              </w:rPr>
              <w:t>有相对独立的研发机构，专职研究开发人员不少于15人（软件类企业30人），占企业当年职工总数的比例不低于10%；具有专科以上学历或中级以上职称的工程技术人员不低于研发机构职工总数的50％。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noWrap w:val="0"/>
            <w:vAlign w:val="center"/>
          </w:tcPr>
          <w:p>
            <w:pPr>
              <w:spacing w:line="280" w:lineRule="exact"/>
              <w:jc w:val="center"/>
              <w:rPr>
                <w:color w:val="000000"/>
                <w:szCs w:val="21"/>
              </w:rPr>
            </w:pPr>
            <w:r>
              <w:rPr>
                <w:color w:val="000000"/>
                <w:szCs w:val="21"/>
              </w:rPr>
              <w:t>3</w:t>
            </w:r>
          </w:p>
        </w:tc>
        <w:tc>
          <w:tcPr>
            <w:tcW w:w="1540" w:type="dxa"/>
            <w:noWrap w:val="0"/>
            <w:vAlign w:val="center"/>
          </w:tcPr>
          <w:p>
            <w:pPr>
              <w:spacing w:line="280" w:lineRule="exact"/>
              <w:jc w:val="center"/>
              <w:rPr>
                <w:color w:val="000000"/>
                <w:szCs w:val="21"/>
              </w:rPr>
            </w:pPr>
            <w:r>
              <w:rPr>
                <w:color w:val="000000"/>
                <w:szCs w:val="21"/>
              </w:rPr>
              <w:t>科研设施</w:t>
            </w:r>
          </w:p>
        </w:tc>
        <w:tc>
          <w:tcPr>
            <w:tcW w:w="6240" w:type="dxa"/>
            <w:noWrap w:val="0"/>
            <w:vAlign w:val="center"/>
          </w:tcPr>
          <w:p>
            <w:pPr>
              <w:spacing w:line="280" w:lineRule="exact"/>
              <w:rPr>
                <w:szCs w:val="21"/>
              </w:rPr>
            </w:pPr>
            <w:r>
              <w:rPr>
                <w:rFonts w:eastAsia="å¾®è½¯é›…é»‘"/>
                <w:szCs w:val="21"/>
                <w:shd w:val="clear" w:color="auto" w:fill="FFFFFF"/>
              </w:rPr>
              <w:t>研发场地500平方米以上，科研设备原值总额500万元以上（软件类企业100万元以上）；科研生产共用的设备原值不超过科研设备原值总额的30%（科研生产共用的设备原值按30%比例计入科研设备原值）</w:t>
            </w: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noWrap w:val="0"/>
            <w:vAlign w:val="center"/>
          </w:tcPr>
          <w:p>
            <w:pPr>
              <w:spacing w:line="280" w:lineRule="exact"/>
              <w:jc w:val="center"/>
              <w:rPr>
                <w:color w:val="000000"/>
                <w:szCs w:val="21"/>
              </w:rPr>
            </w:pPr>
            <w:r>
              <w:rPr>
                <w:color w:val="000000"/>
                <w:szCs w:val="21"/>
              </w:rPr>
              <w:t>4</w:t>
            </w:r>
          </w:p>
        </w:tc>
        <w:tc>
          <w:tcPr>
            <w:tcW w:w="1540" w:type="dxa"/>
            <w:noWrap w:val="0"/>
            <w:vAlign w:val="center"/>
          </w:tcPr>
          <w:p>
            <w:pPr>
              <w:spacing w:line="280" w:lineRule="exact"/>
              <w:jc w:val="center"/>
              <w:rPr>
                <w:color w:val="000000"/>
                <w:szCs w:val="21"/>
              </w:rPr>
            </w:pPr>
            <w:r>
              <w:rPr>
                <w:color w:val="000000"/>
                <w:szCs w:val="21"/>
              </w:rPr>
              <w:t>知识产权</w:t>
            </w:r>
          </w:p>
        </w:tc>
        <w:tc>
          <w:tcPr>
            <w:tcW w:w="6240" w:type="dxa"/>
            <w:noWrap w:val="0"/>
            <w:vAlign w:val="center"/>
          </w:tcPr>
          <w:p>
            <w:pPr>
              <w:spacing w:line="280" w:lineRule="exact"/>
              <w:rPr>
                <w:szCs w:val="21"/>
              </w:rPr>
            </w:pPr>
            <w:r>
              <w:rPr>
                <w:rFonts w:eastAsia="å¾®è½¯é›…é»‘"/>
                <w:szCs w:val="21"/>
                <w:shd w:val="clear" w:color="auto" w:fill="FFFFFF"/>
              </w:rPr>
              <w:t>近三年内通过自主研发、受让、受赠、并购、独占许可等方式，在其申报领域拥有1件以上发明专利（含国防专利）、植物新品种、国家级农作物品种、国家新药、国家一级中药保护品种、集成电路布图设计专有权，或6件以上实用新型专利、外观设计专利、软件著作权等（不含商标）自主知识产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797" w:type="dxa"/>
            <w:noWrap w:val="0"/>
            <w:vAlign w:val="center"/>
          </w:tcPr>
          <w:p>
            <w:pPr>
              <w:spacing w:line="280" w:lineRule="exact"/>
              <w:jc w:val="center"/>
              <w:rPr>
                <w:color w:val="000000"/>
                <w:szCs w:val="21"/>
              </w:rPr>
            </w:pPr>
            <w:r>
              <w:rPr>
                <w:color w:val="000000"/>
                <w:szCs w:val="21"/>
              </w:rPr>
              <w:t>5</w:t>
            </w:r>
          </w:p>
        </w:tc>
        <w:tc>
          <w:tcPr>
            <w:tcW w:w="1540" w:type="dxa"/>
            <w:noWrap w:val="0"/>
            <w:vAlign w:val="center"/>
          </w:tcPr>
          <w:p>
            <w:pPr>
              <w:spacing w:line="280" w:lineRule="exact"/>
              <w:jc w:val="center"/>
              <w:rPr>
                <w:color w:val="000000"/>
                <w:szCs w:val="21"/>
              </w:rPr>
            </w:pPr>
            <w:r>
              <w:rPr>
                <w:color w:val="000000"/>
                <w:szCs w:val="21"/>
              </w:rPr>
              <w:t>成果转化</w:t>
            </w:r>
          </w:p>
        </w:tc>
        <w:tc>
          <w:tcPr>
            <w:tcW w:w="6240" w:type="dxa"/>
            <w:noWrap w:val="0"/>
            <w:vAlign w:val="center"/>
          </w:tcPr>
          <w:p>
            <w:pPr>
              <w:spacing w:line="280" w:lineRule="exact"/>
              <w:rPr>
                <w:rFonts w:eastAsia="å¾®è½¯é›…é»‘"/>
                <w:szCs w:val="21"/>
                <w:shd w:val="clear" w:color="auto" w:fill="FFFFFF"/>
              </w:rPr>
            </w:pPr>
            <w:r>
              <w:rPr>
                <w:rFonts w:eastAsia="å¾®è½¯é›…é»‘"/>
                <w:szCs w:val="21"/>
                <w:shd w:val="clear" w:color="auto" w:fill="FFFFFF"/>
              </w:rPr>
              <w:t>近三年累计转化科技成果15项以上。</w:t>
            </w:r>
          </w:p>
        </w:tc>
      </w:tr>
    </w:tbl>
    <w:p>
      <w:pPr>
        <w:pStyle w:val="2"/>
        <w:spacing w:line="580" w:lineRule="exact"/>
        <w:ind w:firstLine="640" w:firstLineChars="200"/>
        <w:rPr>
          <w:rFonts w:eastAsia="黑体"/>
          <w:color w:val="000000"/>
        </w:rPr>
      </w:pPr>
      <w:r>
        <w:rPr>
          <w:rFonts w:eastAsia="黑体"/>
          <w:color w:val="000000"/>
        </w:rPr>
        <w:t>二、项目负责人要求</w:t>
      </w:r>
    </w:p>
    <w:p>
      <w:pPr>
        <w:pStyle w:val="2"/>
        <w:rPr>
          <w:rFonts w:eastAsia="仿宋_GB2312"/>
        </w:rPr>
      </w:pPr>
      <w:r>
        <w:t xml:space="preserve">    </w:t>
      </w:r>
      <w:r>
        <w:rPr>
          <w:rFonts w:eastAsia="仿宋_GB2312"/>
        </w:rPr>
        <w:t>1</w:t>
      </w:r>
      <w:r>
        <w:rPr>
          <w:rFonts w:hint="eastAsia" w:eastAsia="仿宋_GB2312"/>
        </w:rPr>
        <w:t>．</w:t>
      </w:r>
      <w:r>
        <w:rPr>
          <w:rFonts w:eastAsia="仿宋_GB2312"/>
        </w:rPr>
        <w:t>作为项目负责人，同年度只能申报1项“尖兵”“领雁”研发攻关计划项目，在研各类省级科技计划项目数已超过1项的不得申报。</w:t>
      </w:r>
    </w:p>
    <w:p>
      <w:pPr>
        <w:pStyle w:val="2"/>
        <w:ind w:firstLine="640" w:firstLineChars="200"/>
        <w:rPr>
          <w:rFonts w:eastAsia="仿宋_GB2312"/>
          <w:color w:val="000000"/>
        </w:rPr>
      </w:pPr>
      <w:r>
        <w:rPr>
          <w:rFonts w:eastAsia="仿宋_GB2312"/>
        </w:rPr>
        <w:t>2</w:t>
      </w:r>
      <w:r>
        <w:rPr>
          <w:rFonts w:hint="eastAsia" w:eastAsia="仿宋_GB2312"/>
        </w:rPr>
        <w:t>．</w:t>
      </w:r>
      <w:r>
        <w:rPr>
          <w:rFonts w:eastAsia="仿宋_GB2312"/>
          <w:color w:val="000000"/>
        </w:rPr>
        <w:t>申报“尖兵计划”榜单项目的，无年龄、学历和职称要求。申报其他榜单项目，在项目实施期内将到达法定退休年龄的（院士为70周岁），原则上不得申报，如确需申报，应由单位出具允许申报且能确保项目履约实施的承诺书（如返聘、延迟退休等）。</w:t>
      </w:r>
      <w:r>
        <w:rPr>
          <w:rFonts w:eastAsia="仿宋_GB2312"/>
        </w:rPr>
        <w:t>如非牵头申报单位在职人员，应由牵头申报单位出具赋予其管</w:t>
      </w:r>
      <w:r>
        <w:rPr>
          <w:rFonts w:eastAsia="仿宋_GB2312"/>
          <w:color w:val="000000"/>
        </w:rPr>
        <w:t>理项目实施的授权书。</w:t>
      </w:r>
    </w:p>
    <w:p>
      <w:pPr>
        <w:overflowPunct w:val="0"/>
        <w:spacing w:line="580" w:lineRule="exact"/>
        <w:ind w:firstLine="640" w:firstLineChars="200"/>
        <w:rPr>
          <w:rFonts w:eastAsia="仿宋_GB2312"/>
          <w:sz w:val="32"/>
          <w:szCs w:val="32"/>
        </w:rPr>
      </w:pPr>
      <w:r>
        <w:rPr>
          <w:rFonts w:eastAsia="仿宋_GB2312"/>
          <w:sz w:val="32"/>
          <w:szCs w:val="32"/>
        </w:rPr>
        <w:t>3</w:t>
      </w:r>
      <w:r>
        <w:rPr>
          <w:rFonts w:hint="eastAsia" w:eastAsia="仿宋_GB2312"/>
          <w:sz w:val="32"/>
          <w:szCs w:val="32"/>
        </w:rPr>
        <w:t>．</w:t>
      </w:r>
      <w:r>
        <w:rPr>
          <w:rFonts w:eastAsia="仿宋_GB2312"/>
          <w:sz w:val="32"/>
          <w:szCs w:val="32"/>
        </w:rPr>
        <w:t>承担在研应急攻关任务、对口帮扶项目、省杰青项目、省领军型创新创业团队项目、省高层次人才特殊支持计划（科技创新领军人才、科技创业领军人才）项目的，不纳入申报限项范围（同一项目负责人同年度各类省级科技计划项目立项</w:t>
      </w:r>
      <w:r>
        <w:rPr>
          <w:rFonts w:eastAsia="仿宋_GB2312"/>
          <w:sz w:val="32"/>
          <w:szCs w:val="32"/>
          <w:lang w:eastAsia="zh"/>
        </w:rPr>
        <w:t>原则上</w:t>
      </w:r>
      <w:r>
        <w:rPr>
          <w:rFonts w:eastAsia="仿宋_GB2312"/>
          <w:sz w:val="32"/>
          <w:szCs w:val="32"/>
        </w:rPr>
        <w:t>不超过</w:t>
      </w:r>
      <w:r>
        <w:rPr>
          <w:rFonts w:eastAsia="仿宋_GB2312"/>
          <w:sz w:val="32"/>
          <w:szCs w:val="32"/>
          <w:lang w:eastAsia="zh"/>
        </w:rPr>
        <w:t>1项</w:t>
      </w:r>
      <w:r>
        <w:rPr>
          <w:rFonts w:eastAsia="仿宋_GB2312"/>
          <w:sz w:val="32"/>
          <w:szCs w:val="32"/>
        </w:rPr>
        <w:t>）。</w:t>
      </w:r>
    </w:p>
    <w:p>
      <w:pPr>
        <w:overflowPunct w:val="0"/>
        <w:spacing w:line="580" w:lineRule="exact"/>
        <w:ind w:firstLine="640" w:firstLineChars="200"/>
        <w:rPr>
          <w:rFonts w:eastAsia="仿宋_GB2312"/>
          <w:sz w:val="32"/>
          <w:szCs w:val="32"/>
        </w:rPr>
      </w:pPr>
      <w:r>
        <w:rPr>
          <w:rFonts w:eastAsia="仿宋_GB2312"/>
          <w:sz w:val="32"/>
          <w:szCs w:val="32"/>
        </w:rPr>
        <w:t>4.项目实施期间原则上不得调离或辞去工作职位。</w:t>
      </w:r>
    </w:p>
    <w:p>
      <w:pPr>
        <w:pStyle w:val="2"/>
        <w:spacing w:line="580" w:lineRule="exact"/>
        <w:ind w:left="0" w:firstLine="640" w:firstLineChars="200"/>
        <w:rPr>
          <w:rFonts w:eastAsia="黑体"/>
          <w:color w:val="000000"/>
        </w:rPr>
      </w:pPr>
      <w:r>
        <w:rPr>
          <w:rFonts w:eastAsia="黑体"/>
          <w:color w:val="000000"/>
        </w:rPr>
        <w:t>三、成果类型说明</w:t>
      </w:r>
    </w:p>
    <w:p>
      <w:pPr>
        <w:pStyle w:val="2"/>
        <w:spacing w:line="580" w:lineRule="exact"/>
        <w:ind w:left="0" w:firstLine="640" w:firstLineChars="200"/>
        <w:rPr>
          <w:rFonts w:eastAsia="黑体"/>
          <w:color w:val="000000"/>
        </w:rPr>
      </w:pPr>
      <w:r>
        <w:rPr>
          <w:rFonts w:eastAsia="仿宋_GB2312"/>
          <w:color w:val="000000"/>
        </w:rPr>
        <w:t>根据科学技术部制定的科技成果登记表（国统制（2022）11号），</w:t>
      </w:r>
      <w:r>
        <w:rPr>
          <w:rFonts w:eastAsia="仿宋_GB2312"/>
          <w:b/>
          <w:bCs/>
        </w:rPr>
        <w:t>应用技术成果</w:t>
      </w:r>
      <w:r>
        <w:rPr>
          <w:rFonts w:eastAsia="仿宋_GB2312"/>
        </w:rPr>
        <w:t>主要是指针对某一特定的实际应用目的，为获得新的科学技术知识而进行的独创性研究，应用研究通常是为了确定基础研究成果或知识的可能的用途，或是为达到某一具体的、预定的实际目的确定新的方法（原理）或途径，主要包括为提高生产力水平而进行的科学研究、技术开发、后续试验和应用推广所产生的具有实用价值的新技术、新产品、新工艺、新材料、新装备等。其中包括计算机软件成果。</w:t>
      </w:r>
      <w:r>
        <w:rPr>
          <w:rFonts w:eastAsia="仿宋_GB2312"/>
          <w:b/>
          <w:bCs/>
        </w:rPr>
        <w:t>基础理论成果</w:t>
      </w:r>
      <w:r>
        <w:rPr>
          <w:rFonts w:eastAsia="仿宋_GB2312"/>
        </w:rPr>
        <w:t>是指为获得新知识而进行的独创性研究。其目的是揭示观察到的现象和事实的基本原理和规律</w:t>
      </w:r>
      <w:r>
        <w:rPr>
          <w:rFonts w:eastAsia="仿宋_GB2312"/>
          <w:color w:val="000000"/>
        </w:rPr>
        <w:t>。</w:t>
      </w:r>
      <w:r>
        <w:rPr>
          <w:rFonts w:eastAsia="仿宋_GB2312"/>
        </w:rPr>
        <w:t>成果形式为论文、著作、研究报告等。</w:t>
      </w:r>
      <w:r>
        <w:rPr>
          <w:rFonts w:eastAsia="仿宋_GB2312"/>
          <w:color w:val="000000"/>
        </w:rPr>
        <w:t>基础理论类图书列入此类。</w:t>
      </w:r>
    </w:p>
    <w:p>
      <w:pPr>
        <w:pStyle w:val="2"/>
        <w:spacing w:line="580" w:lineRule="exact"/>
        <w:ind w:left="0" w:firstLine="640" w:firstLineChars="200"/>
        <w:rPr>
          <w:rFonts w:eastAsia="黑体"/>
          <w:color w:val="000000"/>
        </w:rPr>
      </w:pPr>
      <w:r>
        <w:rPr>
          <w:rFonts w:eastAsia="黑体"/>
          <w:color w:val="000000"/>
        </w:rPr>
        <w:t>四、其他注意事项</w:t>
      </w:r>
    </w:p>
    <w:p>
      <w:pPr>
        <w:overflowPunct w:val="0"/>
        <w:spacing w:line="580" w:lineRule="exact"/>
        <w:ind w:firstLine="640" w:firstLineChars="200"/>
        <w:rPr>
          <w:rFonts w:eastAsia="仿宋_GB2312"/>
        </w:rPr>
      </w:pPr>
      <w:r>
        <w:rPr>
          <w:rFonts w:eastAsia="仿宋_GB2312"/>
          <w:color w:val="000000"/>
          <w:kern w:val="0"/>
          <w:sz w:val="32"/>
          <w:szCs w:val="32"/>
        </w:rPr>
        <w:t>1</w:t>
      </w:r>
      <w:r>
        <w:rPr>
          <w:rFonts w:hint="eastAsia" w:eastAsia="仿宋_GB2312"/>
          <w:color w:val="000000"/>
          <w:kern w:val="0"/>
          <w:sz w:val="32"/>
          <w:szCs w:val="32"/>
        </w:rPr>
        <w:t>．</w:t>
      </w:r>
      <w:r>
        <w:rPr>
          <w:rFonts w:eastAsia="仿宋_GB2312"/>
          <w:sz w:val="32"/>
          <w:szCs w:val="32"/>
        </w:rPr>
        <w:t>省实验室、省技术创新中心不设推荐限额，立项的项目及省级财政</w:t>
      </w:r>
      <w:r>
        <w:rPr>
          <w:rFonts w:eastAsia="仿宋_GB2312"/>
          <w:bCs/>
          <w:color w:val="000000"/>
          <w:kern w:val="0"/>
          <w:sz w:val="32"/>
          <w:szCs w:val="32"/>
          <w:lang w:eastAsia="zh"/>
        </w:rPr>
        <w:t>补助经费</w:t>
      </w:r>
      <w:r>
        <w:rPr>
          <w:rFonts w:eastAsia="仿宋_GB2312"/>
          <w:bCs/>
          <w:color w:val="000000"/>
          <w:kern w:val="0"/>
          <w:sz w:val="32"/>
          <w:szCs w:val="32"/>
        </w:rPr>
        <w:t>按有关政策执行。</w:t>
      </w:r>
      <w:r>
        <w:rPr>
          <w:rFonts w:eastAsia="仿宋_GB2312"/>
          <w:sz w:val="32"/>
          <w:szCs w:val="32"/>
        </w:rPr>
        <w:t>省级临床医学研究中心限额推荐数按有关政策执行。</w:t>
      </w:r>
    </w:p>
    <w:p>
      <w:pPr>
        <w:overflowPunct w:val="0"/>
        <w:spacing w:line="580" w:lineRule="exact"/>
        <w:ind w:firstLine="640" w:firstLineChars="200"/>
        <w:rPr>
          <w:rFonts w:eastAsia="仿宋_GB2312"/>
          <w:color w:val="000000"/>
          <w:kern w:val="0"/>
          <w:sz w:val="32"/>
          <w:szCs w:val="32"/>
        </w:rPr>
      </w:pPr>
      <w:r>
        <w:rPr>
          <w:rFonts w:eastAsia="仿宋_GB2312"/>
          <w:color w:val="000000"/>
          <w:kern w:val="0"/>
          <w:sz w:val="32"/>
          <w:szCs w:val="32"/>
        </w:rPr>
        <w:t>2</w:t>
      </w:r>
      <w:r>
        <w:rPr>
          <w:rFonts w:hint="eastAsia" w:eastAsia="仿宋_GB2312"/>
          <w:color w:val="000000"/>
          <w:kern w:val="0"/>
          <w:sz w:val="32"/>
          <w:szCs w:val="32"/>
        </w:rPr>
        <w:t>．</w:t>
      </w:r>
      <w:r>
        <w:rPr>
          <w:rFonts w:eastAsia="仿宋_GB2312"/>
          <w:color w:val="000000"/>
          <w:kern w:val="0"/>
          <w:sz w:val="32"/>
          <w:szCs w:val="32"/>
        </w:rPr>
        <w:t>申报项目的可行性报告中应严格回避项目申请单位、参与单位及项目组成员的相关信息，以确保专家评审的公正性（可行性报告模板可在系统下载）。申报材料和相关证明材料不得包含法律禁止公开的秘密内容或申请人要求保密的内容，如涉密需脱密后提交。</w:t>
      </w:r>
    </w:p>
    <w:p>
      <w:pPr>
        <w:overflowPunct w:val="0"/>
        <w:spacing w:line="580" w:lineRule="exact"/>
        <w:ind w:firstLine="617" w:firstLineChars="193"/>
        <w:rPr>
          <w:rFonts w:eastAsia="仿宋_GB2312"/>
          <w:color w:val="000000"/>
          <w:kern w:val="0"/>
          <w:sz w:val="32"/>
          <w:szCs w:val="32"/>
        </w:rPr>
      </w:pPr>
      <w:r>
        <w:rPr>
          <w:rFonts w:eastAsia="仿宋_GB2312"/>
          <w:color w:val="000000"/>
          <w:kern w:val="0"/>
          <w:sz w:val="32"/>
          <w:szCs w:val="32"/>
        </w:rPr>
        <w:t>3</w:t>
      </w:r>
      <w:r>
        <w:rPr>
          <w:rFonts w:hint="eastAsia" w:eastAsia="仿宋_GB2312"/>
          <w:color w:val="000000"/>
          <w:kern w:val="0"/>
          <w:sz w:val="32"/>
          <w:szCs w:val="32"/>
        </w:rPr>
        <w:t>．</w:t>
      </w:r>
      <w:r>
        <w:rPr>
          <w:rFonts w:eastAsia="仿宋_GB2312"/>
          <w:color w:val="000000"/>
          <w:kern w:val="0"/>
          <w:sz w:val="32"/>
          <w:szCs w:val="32"/>
        </w:rPr>
        <w:t>申报项目拟购置50万元及以上科研仪器的，需提交《新购大型科学仪器设备申请表》（申请表模板可在系统下载）。</w:t>
      </w:r>
    </w:p>
    <w:p>
      <w:pPr>
        <w:overflowPunct w:val="0"/>
        <w:spacing w:line="580" w:lineRule="exact"/>
        <w:ind w:firstLine="617" w:firstLineChars="193"/>
        <w:rPr>
          <w:rFonts w:eastAsia="仿宋_GB2312"/>
          <w:color w:val="000000"/>
          <w:kern w:val="0"/>
          <w:sz w:val="32"/>
          <w:szCs w:val="32"/>
        </w:rPr>
      </w:pPr>
      <w:r>
        <w:rPr>
          <w:rFonts w:eastAsia="仿宋_GB2312"/>
          <w:color w:val="000000"/>
          <w:kern w:val="0"/>
          <w:sz w:val="32"/>
          <w:szCs w:val="32"/>
        </w:rPr>
        <w:t>4</w:t>
      </w:r>
      <w:r>
        <w:rPr>
          <w:rFonts w:hint="eastAsia" w:eastAsia="仿宋_GB2312"/>
          <w:color w:val="000000"/>
          <w:kern w:val="0"/>
          <w:sz w:val="32"/>
          <w:szCs w:val="32"/>
        </w:rPr>
        <w:t>．</w:t>
      </w:r>
      <w:r>
        <w:rPr>
          <w:rFonts w:eastAsia="仿宋_GB2312"/>
          <w:color w:val="000000"/>
          <w:kern w:val="0"/>
          <w:sz w:val="32"/>
          <w:szCs w:val="32"/>
        </w:rPr>
        <w:t>项目申报书中应设置科研助理岗位，选聘科研助理从事科研项目辅助研究、实验（工程）设施运行维护和实验技术、科技成果转移转化以及学术助理和财务助理等工作。科研助理相关经费支出，可按规定在科研项目经费中的“劳务费”科目及结余资金里支出。</w:t>
      </w:r>
    </w:p>
    <w:p>
      <w:pPr>
        <w:overflowPunct w:val="0"/>
        <w:spacing w:line="580" w:lineRule="exact"/>
        <w:ind w:firstLine="617" w:firstLineChars="193"/>
        <w:rPr>
          <w:rFonts w:eastAsia="仿宋_GB2312"/>
          <w:color w:val="000000"/>
          <w:kern w:val="0"/>
          <w:sz w:val="32"/>
          <w:szCs w:val="32"/>
        </w:rPr>
      </w:pPr>
      <w:r>
        <w:rPr>
          <w:rFonts w:eastAsia="仿宋_GB2312"/>
          <w:color w:val="000000"/>
          <w:kern w:val="0"/>
          <w:sz w:val="32"/>
          <w:szCs w:val="32"/>
        </w:rPr>
        <w:t>5</w:t>
      </w:r>
      <w:r>
        <w:rPr>
          <w:rFonts w:hint="eastAsia" w:eastAsia="仿宋_GB2312"/>
          <w:color w:val="000000"/>
          <w:kern w:val="0"/>
          <w:sz w:val="32"/>
          <w:szCs w:val="32"/>
        </w:rPr>
        <w:t>．</w:t>
      </w:r>
      <w:r>
        <w:rPr>
          <w:rFonts w:eastAsia="仿宋_GB2312"/>
          <w:color w:val="000000"/>
          <w:kern w:val="0"/>
          <w:sz w:val="32"/>
          <w:szCs w:val="32"/>
        </w:rPr>
        <w:t>项目实施过程中凡涉及人体被试和人类遗传资源、实验动物的科学研究，须严格执行《涉及人的生物医学研究伦理审查办法》《中华人民共和国人类遗传资源管理条例》《浙江省实验动物管理办法》等相关规定。</w:t>
      </w:r>
    </w:p>
    <w:p>
      <w:pPr>
        <w:overflowPunct w:val="0"/>
        <w:spacing w:line="580" w:lineRule="exact"/>
        <w:ind w:firstLine="640" w:firstLineChars="200"/>
        <w:rPr>
          <w:rFonts w:eastAsia="仿宋_GB2312"/>
          <w:color w:val="000000"/>
          <w:kern w:val="0"/>
          <w:sz w:val="32"/>
          <w:szCs w:val="32"/>
        </w:rPr>
      </w:pPr>
      <w:r>
        <w:rPr>
          <w:rFonts w:eastAsia="仿宋_GB2312"/>
          <w:color w:val="000000"/>
          <w:kern w:val="0"/>
          <w:sz w:val="32"/>
          <w:szCs w:val="32"/>
        </w:rPr>
        <w:t>6</w:t>
      </w:r>
      <w:r>
        <w:rPr>
          <w:rFonts w:hint="eastAsia" w:eastAsia="仿宋_GB2312"/>
          <w:color w:val="000000"/>
          <w:kern w:val="0"/>
          <w:sz w:val="32"/>
          <w:szCs w:val="32"/>
        </w:rPr>
        <w:t>．</w:t>
      </w:r>
      <w:r>
        <w:rPr>
          <w:rFonts w:eastAsia="仿宋_GB2312"/>
          <w:color w:val="000000"/>
          <w:kern w:val="0"/>
          <w:sz w:val="32"/>
          <w:szCs w:val="32"/>
        </w:rPr>
        <w:t>牵头申报单位和参与单位均应在单位财务系统中独立核算研发费。企业应登录浙江省政务服务网（https://zwfw.zj.gov.cn/），搜索“科技创新”，点击“立即办理”“加计扣除”填报研发费用信息（需使用政务网法人账号登录）。</w:t>
      </w:r>
    </w:p>
    <w:p>
      <w:pPr>
        <w:spacing w:line="600" w:lineRule="exact"/>
        <w:rPr>
          <w:rFonts w:eastAsia="仿宋_GB2312"/>
        </w:rPr>
      </w:pPr>
    </w:p>
    <w:p/>
    <w:sectPr>
      <w:footerReference r:id="rId3" w:type="default"/>
      <w:footerReference r:id="rId4" w:type="even"/>
      <w:pgSz w:w="11906" w:h="16838"/>
      <w:pgMar w:top="2098" w:right="1474" w:bottom="1440" w:left="1587" w:header="851" w:footer="992" w:gutter="0"/>
      <w:cols w:space="72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0000600000000000000"/>
    <w:charset w:val="86"/>
    <w:family w:val="script"/>
    <w:pitch w:val="default"/>
    <w:sig w:usb0="800002BF" w:usb1="184F6CF8" w:usb2="00000012" w:usb3="00000000" w:csb0="00160001" w:csb1="12030000"/>
  </w:font>
  <w:font w:name="仿宋_GB2312">
    <w:altName w:val="仿宋"/>
    <w:panose1 w:val="02010609030101010101"/>
    <w:charset w:val="86"/>
    <w:family w:val="modern"/>
    <w:pitch w:val="default"/>
    <w:sig w:usb0="00000000" w:usb1="00000000" w:usb2="00000010" w:usb3="00000000" w:csb0="00040000" w:csb1="00000000"/>
  </w:font>
  <w:font w:name="å¾®è½¯é›…é»‘">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rPr>
        <w:rStyle w:val="8"/>
        <w:rFonts w:hint="eastAsia" w:ascii="宋体"/>
        <w:sz w:val="28"/>
        <w:szCs w:val="28"/>
      </w:rPr>
      <w:t>－</w:t>
    </w:r>
    <w:r>
      <w:rPr>
        <w:rStyle w:val="8"/>
        <w:rFonts w:ascii="宋体"/>
        <w:sz w:val="28"/>
        <w:szCs w:val="28"/>
      </w:rPr>
      <w:t xml:space="preserve"> </w:t>
    </w:r>
    <w:r>
      <w:rPr>
        <w:rStyle w:val="8"/>
        <w:rFonts w:ascii="宋体"/>
        <w:sz w:val="28"/>
        <w:szCs w:val="28"/>
      </w:rPr>
      <w:fldChar w:fldCharType="begin"/>
    </w:r>
    <w:r>
      <w:rPr>
        <w:rStyle w:val="8"/>
        <w:rFonts w:ascii="宋体"/>
        <w:sz w:val="28"/>
        <w:szCs w:val="28"/>
      </w:rPr>
      <w:instrText xml:space="preserve">PAGE  </w:instrText>
    </w:r>
    <w:r>
      <w:rPr>
        <w:rStyle w:val="8"/>
        <w:rFonts w:ascii="宋体"/>
        <w:sz w:val="28"/>
        <w:szCs w:val="28"/>
      </w:rPr>
      <w:fldChar w:fldCharType="separate"/>
    </w:r>
    <w:r>
      <w:rPr>
        <w:rStyle w:val="8"/>
        <w:rFonts w:ascii="宋体"/>
        <w:sz w:val="28"/>
        <w:szCs w:val="28"/>
      </w:rPr>
      <w:t>13</w:t>
    </w:r>
    <w:r>
      <w:rPr>
        <w:rStyle w:val="8"/>
        <w:rFonts w:ascii="宋体"/>
        <w:sz w:val="28"/>
        <w:szCs w:val="28"/>
      </w:rPr>
      <w:fldChar w:fldCharType="end"/>
    </w:r>
    <w:r>
      <w:rPr>
        <w:rStyle w:val="8"/>
        <w:rFonts w:ascii="宋体"/>
        <w:sz w:val="28"/>
        <w:szCs w:val="28"/>
      </w:rPr>
      <w:t xml:space="preserve"> </w:t>
    </w:r>
    <w:r>
      <w:rPr>
        <w:rStyle w:val="8"/>
        <w:rFonts w:hint="eastAsia" w:ascii="宋体"/>
        <w:sz w:val="28"/>
        <w:szCs w:val="28"/>
      </w:rPr>
      <w:t>－</w: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Style w:val="8"/>
        <w:rFonts w:hint="eastAsia" w:ascii="宋体"/>
        <w:sz w:val="28"/>
        <w:szCs w:val="28"/>
      </w:rPr>
      <w:t>－</w:t>
    </w:r>
    <w:r>
      <w:rPr>
        <w:rStyle w:val="8"/>
        <w:rFonts w:ascii="宋体"/>
        <w:sz w:val="28"/>
        <w:szCs w:val="28"/>
      </w:rPr>
      <w:t xml:space="preserve"> </w:t>
    </w:r>
    <w:r>
      <w:rPr>
        <w:rStyle w:val="8"/>
        <w:rFonts w:ascii="宋体"/>
        <w:sz w:val="28"/>
        <w:szCs w:val="28"/>
      </w:rPr>
      <w:fldChar w:fldCharType="begin"/>
    </w:r>
    <w:r>
      <w:rPr>
        <w:rStyle w:val="8"/>
        <w:rFonts w:ascii="宋体"/>
        <w:sz w:val="28"/>
        <w:szCs w:val="28"/>
      </w:rPr>
      <w:instrText xml:space="preserve">PAGE  </w:instrText>
    </w:r>
    <w:r>
      <w:rPr>
        <w:rStyle w:val="8"/>
        <w:rFonts w:ascii="宋体"/>
        <w:sz w:val="28"/>
        <w:szCs w:val="28"/>
      </w:rPr>
      <w:fldChar w:fldCharType="separate"/>
    </w:r>
    <w:r>
      <w:rPr>
        <w:rStyle w:val="8"/>
        <w:rFonts w:ascii="宋体"/>
        <w:sz w:val="28"/>
        <w:szCs w:val="28"/>
      </w:rPr>
      <w:t>12</w:t>
    </w:r>
    <w:r>
      <w:rPr>
        <w:rStyle w:val="8"/>
        <w:rFonts w:ascii="宋体"/>
        <w:sz w:val="28"/>
        <w:szCs w:val="28"/>
      </w:rPr>
      <w:fldChar w:fldCharType="end"/>
    </w:r>
    <w:r>
      <w:rPr>
        <w:rStyle w:val="8"/>
        <w:rFonts w:ascii="宋体"/>
        <w:sz w:val="28"/>
        <w:szCs w:val="28"/>
      </w:rPr>
      <w:t xml:space="preserve"> </w:t>
    </w:r>
    <w:r>
      <w:rPr>
        <w:rStyle w:val="8"/>
        <w:rFonts w:hint="eastAsia" w:ascii="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zMWYwODk5ZjZkNjRjMzliNTlmOTk3YzY0NmY0OWQifQ=="/>
  </w:docVars>
  <w:rsids>
    <w:rsidRoot w:val="3AB7280A"/>
    <w:rsid w:val="243335F1"/>
    <w:rsid w:val="3AB7280A"/>
    <w:rsid w:val="786E57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pPr>
      <w:ind w:left="214"/>
    </w:pPr>
    <w:rPr>
      <w:sz w:val="32"/>
      <w:szCs w:val="32"/>
    </w:rPr>
  </w:style>
  <w:style w:type="paragraph" w:styleId="3">
    <w:name w:val="index 7"/>
    <w:basedOn w:val="1"/>
    <w:next w:val="1"/>
    <w:qFormat/>
    <w:uiPriority w:val="0"/>
    <w:pPr>
      <w:ind w:left="2520"/>
    </w:p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Normal (Web)"/>
    <w:basedOn w:val="1"/>
    <w:unhideWhenUsed/>
    <w:qFormat/>
    <w:uiPriority w:val="99"/>
    <w:pPr>
      <w:spacing w:beforeAutospacing="1" w:afterAutospacing="1"/>
      <w:jc w:val="left"/>
    </w:pPr>
    <w:rPr>
      <w:rFonts w:cs="Times New Roman"/>
      <w:kern w:val="0"/>
      <w:sz w:val="24"/>
    </w:rPr>
  </w:style>
  <w:style w:type="character" w:styleId="8">
    <w:name w:val="page numb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2023-08-25T14:43:00Z</dcterms:created>
  <dc:creator>rcs</dc:creator>
  <cp:lastModifiedBy>z</cp:lastModifiedBy>
  <dcterms:modified xsi:type="dcterms:W3CDTF">2023-08-26T11:19:39Z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FAC693F59CD344D5B0E4AC87B309610B_13</vt:lpwstr>
  </property>
</Properties>
</file>